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7D25DA" w14:textId="6F17BE7E" w:rsidR="00871C2D" w:rsidRPr="009D0E00" w:rsidRDefault="00743E0F" w:rsidP="00CB6518">
      <w:pPr>
        <w:spacing w:after="0" w:line="360" w:lineRule="auto"/>
        <w:rPr>
          <w:rFonts w:ascii="Kigelia Light" w:hAnsi="Kigelia Light" w:cs="Kigelia Light"/>
          <w:b/>
          <w:bCs/>
          <w:i/>
          <w:iCs/>
          <w:color w:val="92D050"/>
          <w:sz w:val="24"/>
          <w:szCs w:val="24"/>
        </w:rPr>
      </w:pPr>
      <w:r>
        <w:rPr>
          <w:rFonts w:ascii="Kigelia Light" w:hAnsi="Kigelia Light" w:cs="Kigelia Light"/>
          <w:b/>
          <w:bCs/>
          <w:i/>
          <w:iCs/>
          <w:color w:val="75BDA7" w:themeColor="accent3"/>
          <w:sz w:val="24"/>
          <w:szCs w:val="24"/>
        </w:rPr>
        <w:t>Cash rates r</w:t>
      </w:r>
      <w:r w:rsidR="004669B3">
        <w:rPr>
          <w:rFonts w:ascii="Kigelia Light" w:hAnsi="Kigelia Light" w:cs="Kigelia Light"/>
          <w:b/>
          <w:bCs/>
          <w:i/>
          <w:iCs/>
          <w:color w:val="75BDA7" w:themeColor="accent3"/>
          <w:sz w:val="24"/>
          <w:szCs w:val="24"/>
        </w:rPr>
        <w:t>i</w:t>
      </w:r>
      <w:r>
        <w:rPr>
          <w:rFonts w:ascii="Kigelia Light" w:hAnsi="Kigelia Light" w:cs="Kigelia Light"/>
          <w:b/>
          <w:bCs/>
          <w:i/>
          <w:iCs/>
          <w:color w:val="75BDA7" w:themeColor="accent3"/>
          <w:sz w:val="24"/>
          <w:szCs w:val="24"/>
        </w:rPr>
        <w:t>se to subdue</w:t>
      </w:r>
      <w:r w:rsidR="00153EF2">
        <w:rPr>
          <w:rFonts w:ascii="Kigelia Light" w:hAnsi="Kigelia Light" w:cs="Kigelia Light"/>
          <w:b/>
          <w:bCs/>
          <w:i/>
          <w:iCs/>
          <w:color w:val="75BDA7" w:themeColor="accent3"/>
          <w:sz w:val="24"/>
          <w:szCs w:val="24"/>
        </w:rPr>
        <w:t xml:space="preserve"> inflation</w:t>
      </w:r>
      <w:r w:rsidR="00871C2D">
        <w:rPr>
          <w:rFonts w:ascii="Kigelia Light" w:hAnsi="Kigelia Light" w:cs="Kigelia Light"/>
          <w:b/>
          <w:bCs/>
          <w:i/>
          <w:iCs/>
          <w:noProof/>
          <w:color w:val="84ACB6" w:themeColor="accent5"/>
          <w:sz w:val="24"/>
          <w:szCs w:val="24"/>
        </w:rPr>
        <w:drawing>
          <wp:inline distT="0" distB="0" distL="0" distR="0" wp14:anchorId="066FB508" wp14:editId="116A5BA0">
            <wp:extent cx="2193904" cy="2136759"/>
            <wp:effectExtent l="0" t="0" r="0" b="0"/>
            <wp:docPr id="42577974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5779741" name="Picture 42577974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3781" cy="22145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EF74BA" w14:textId="2461CCA2" w:rsidR="00972BF5" w:rsidRDefault="006143BB" w:rsidP="006143BB">
      <w:pPr>
        <w:spacing w:after="0" w:line="360" w:lineRule="auto"/>
        <w:rPr>
          <w:rFonts w:ascii="Kigelia Light" w:hAnsi="Kigelia Light" w:cs="Kigelia Light"/>
          <w:color w:val="0D0D0D" w:themeColor="text1" w:themeTint="F2"/>
          <w:sz w:val="20"/>
          <w:szCs w:val="20"/>
        </w:rPr>
      </w:pPr>
      <w:r>
        <w:rPr>
          <w:rFonts w:ascii="Kigelia Light" w:hAnsi="Kigelia Light" w:cs="Kigelia Light"/>
          <w:b/>
          <w:bCs/>
          <w:i/>
          <w:iCs/>
          <w:color w:val="75BDA7" w:themeColor="accent3"/>
          <w:sz w:val="24"/>
          <w:szCs w:val="24"/>
        </w:rPr>
        <w:t xml:space="preserve">  </w:t>
      </w:r>
      <w:r>
        <w:rPr>
          <w:rFonts w:ascii="Kigelia Light" w:hAnsi="Kigelia Light" w:cs="Kigelia Light"/>
          <w:b/>
          <w:bCs/>
          <w:i/>
          <w:iCs/>
          <w:color w:val="75BDA7" w:themeColor="accent3"/>
          <w:sz w:val="24"/>
          <w:szCs w:val="24"/>
        </w:rPr>
        <w:tab/>
        <w:t xml:space="preserve">     </w:t>
      </w:r>
      <w:r w:rsidRPr="00DB4EB7">
        <w:rPr>
          <w:rFonts w:ascii="Kigelia Light" w:hAnsi="Kigelia Light" w:cs="Kigelia Light"/>
          <w:b/>
          <w:bCs/>
          <w:i/>
          <w:iCs/>
          <w:color w:val="75BDA7" w:themeColor="accent3"/>
          <w:sz w:val="24"/>
          <w:szCs w:val="24"/>
        </w:rPr>
        <w:t>instant indicators</w:t>
      </w:r>
    </w:p>
    <w:p w14:paraId="7B2B8B83" w14:textId="0714B9B1" w:rsidR="00584DFE" w:rsidRDefault="00584DFE" w:rsidP="002262CF">
      <w:pPr>
        <w:spacing w:after="0" w:line="360" w:lineRule="atLeast"/>
        <w:rPr>
          <w:rFonts w:ascii="Kigelia Light" w:hAnsi="Kigelia Light" w:cs="Kigelia Light"/>
          <w:color w:val="0D0D0D" w:themeColor="text1" w:themeTint="F2"/>
          <w:sz w:val="20"/>
          <w:szCs w:val="20"/>
        </w:rPr>
      </w:pPr>
      <w:r w:rsidRPr="00584DFE">
        <w:rPr>
          <w:rFonts w:ascii="Kigelia Light" w:hAnsi="Kigelia Light" w:cs="Kigelia Light"/>
          <w:color w:val="0D0D0D" w:themeColor="text1" w:themeTint="F2"/>
          <w:sz w:val="20"/>
          <w:szCs w:val="20"/>
        </w:rPr>
        <w:t>Cash rates rose 25 basis points</w:t>
      </w:r>
      <w:r w:rsidR="004851DF">
        <w:rPr>
          <w:rFonts w:ascii="Kigelia Light" w:hAnsi="Kigelia Light" w:cs="Kigelia Light"/>
          <w:color w:val="0D0D0D" w:themeColor="text1" w:themeTint="F2"/>
          <w:sz w:val="20"/>
          <w:szCs w:val="20"/>
        </w:rPr>
        <w:t xml:space="preserve"> </w:t>
      </w:r>
      <w:r w:rsidR="001D22A1" w:rsidRPr="00584DFE">
        <w:rPr>
          <w:rFonts w:ascii="Kigelia Light" w:hAnsi="Kigelia Light" w:cs="Kigelia Light"/>
          <w:color w:val="0D0D0D" w:themeColor="text1" w:themeTint="F2"/>
          <w:sz w:val="20"/>
          <w:szCs w:val="20"/>
        </w:rPr>
        <w:t>to 4.6 per cent</w:t>
      </w:r>
      <w:r w:rsidR="001D22A1">
        <w:rPr>
          <w:rFonts w:ascii="Kigelia Light" w:hAnsi="Kigelia Light" w:cs="Kigelia Light"/>
          <w:color w:val="0D0D0D" w:themeColor="text1" w:themeTint="F2"/>
          <w:sz w:val="20"/>
          <w:szCs w:val="20"/>
        </w:rPr>
        <w:t xml:space="preserve"> </w:t>
      </w:r>
      <w:r w:rsidRPr="00584DFE">
        <w:rPr>
          <w:rFonts w:ascii="Kigelia Light" w:hAnsi="Kigelia Light" w:cs="Kigelia Light"/>
          <w:color w:val="0D0D0D" w:themeColor="text1" w:themeTint="F2"/>
          <w:sz w:val="20"/>
          <w:szCs w:val="20"/>
        </w:rPr>
        <w:t>Tuesday</w:t>
      </w:r>
      <w:r w:rsidR="00D564D4">
        <w:rPr>
          <w:rFonts w:ascii="Kigelia Light" w:hAnsi="Kigelia Light" w:cs="Kigelia Light"/>
          <w:color w:val="0D0D0D" w:themeColor="text1" w:themeTint="F2"/>
          <w:sz w:val="20"/>
          <w:szCs w:val="20"/>
        </w:rPr>
        <w:t>,</w:t>
      </w:r>
      <w:r w:rsidRPr="00584DFE">
        <w:rPr>
          <w:rFonts w:ascii="Kigelia Light" w:hAnsi="Kigelia Light" w:cs="Kigelia Light"/>
          <w:color w:val="0D0D0D" w:themeColor="text1" w:themeTint="F2"/>
          <w:sz w:val="20"/>
          <w:szCs w:val="20"/>
        </w:rPr>
        <w:t xml:space="preserve"> 29 September, the third rise this year. The Reserve Bank of Australia raised </w:t>
      </w:r>
      <w:r w:rsidR="005073BD">
        <w:rPr>
          <w:rFonts w:ascii="Kigelia Light" w:hAnsi="Kigelia Light" w:cs="Kigelia Light"/>
          <w:color w:val="0D0D0D" w:themeColor="text1" w:themeTint="F2"/>
          <w:sz w:val="20"/>
          <w:szCs w:val="20"/>
        </w:rPr>
        <w:t xml:space="preserve">the cash </w:t>
      </w:r>
      <w:r w:rsidRPr="00584DFE">
        <w:rPr>
          <w:rFonts w:ascii="Kigelia Light" w:hAnsi="Kigelia Light" w:cs="Kigelia Light"/>
          <w:color w:val="0D0D0D" w:themeColor="text1" w:themeTint="F2"/>
          <w:sz w:val="20"/>
          <w:szCs w:val="20"/>
        </w:rPr>
        <w:t xml:space="preserve">rate because </w:t>
      </w:r>
      <w:r w:rsidR="00A74EE9" w:rsidRPr="00584DFE">
        <w:rPr>
          <w:rFonts w:ascii="Kigelia Light" w:hAnsi="Kigelia Light" w:cs="Kigelia Light"/>
          <w:color w:val="0D0D0D" w:themeColor="text1" w:themeTint="F2"/>
          <w:sz w:val="20"/>
          <w:szCs w:val="20"/>
        </w:rPr>
        <w:t xml:space="preserve">ongoing impediments to </w:t>
      </w:r>
      <w:r w:rsidR="00F2552C">
        <w:rPr>
          <w:rFonts w:ascii="Kigelia Light" w:hAnsi="Kigelia Light" w:cs="Kigelia Light"/>
          <w:color w:val="0D0D0D" w:themeColor="text1" w:themeTint="F2"/>
          <w:sz w:val="20"/>
          <w:szCs w:val="20"/>
        </w:rPr>
        <w:t xml:space="preserve">rising </w:t>
      </w:r>
      <w:r w:rsidR="00A74EE9" w:rsidRPr="00584DFE">
        <w:rPr>
          <w:rFonts w:ascii="Kigelia Light" w:hAnsi="Kigelia Light" w:cs="Kigelia Light"/>
          <w:color w:val="0D0D0D" w:themeColor="text1" w:themeTint="F2"/>
          <w:sz w:val="20"/>
          <w:szCs w:val="20"/>
        </w:rPr>
        <w:t>efficiency limit</w:t>
      </w:r>
      <w:r w:rsidR="00A74EE9">
        <w:rPr>
          <w:rFonts w:ascii="Kigelia Light" w:hAnsi="Kigelia Light" w:cs="Kigelia Light"/>
          <w:color w:val="0D0D0D" w:themeColor="text1" w:themeTint="F2"/>
          <w:sz w:val="20"/>
          <w:szCs w:val="20"/>
        </w:rPr>
        <w:t xml:space="preserve"> non-inflationary growth</w:t>
      </w:r>
      <w:r w:rsidR="002B2A62">
        <w:rPr>
          <w:rFonts w:ascii="Kigelia Light" w:hAnsi="Kigelia Light" w:cs="Kigelia Light"/>
          <w:color w:val="0D0D0D" w:themeColor="text1" w:themeTint="F2"/>
          <w:sz w:val="20"/>
          <w:szCs w:val="20"/>
        </w:rPr>
        <w:t xml:space="preserve"> in income</w:t>
      </w:r>
      <w:r w:rsidR="00B97670">
        <w:rPr>
          <w:rFonts w:ascii="Kigelia Light" w:hAnsi="Kigelia Light" w:cs="Kigelia Light"/>
          <w:color w:val="0D0D0D" w:themeColor="text1" w:themeTint="F2"/>
          <w:sz w:val="20"/>
          <w:szCs w:val="20"/>
        </w:rPr>
        <w:t xml:space="preserve"> and</w:t>
      </w:r>
      <w:r w:rsidR="00C875A1">
        <w:rPr>
          <w:rFonts w:ascii="Kigelia Light" w:hAnsi="Kigelia Light" w:cs="Kigelia Light"/>
          <w:color w:val="0D0D0D" w:themeColor="text1" w:themeTint="F2"/>
          <w:sz w:val="20"/>
          <w:szCs w:val="20"/>
        </w:rPr>
        <w:t xml:space="preserve"> oil </w:t>
      </w:r>
      <w:r w:rsidRPr="00584DFE">
        <w:rPr>
          <w:rFonts w:ascii="Kigelia Light" w:hAnsi="Kigelia Light" w:cs="Kigelia Light"/>
          <w:color w:val="0D0D0D" w:themeColor="text1" w:themeTint="F2"/>
          <w:sz w:val="20"/>
          <w:szCs w:val="20"/>
        </w:rPr>
        <w:t xml:space="preserve">prices </w:t>
      </w:r>
      <w:r w:rsidR="00683059">
        <w:rPr>
          <w:rFonts w:ascii="Kigelia Light" w:hAnsi="Kigelia Light" w:cs="Kigelia Light"/>
          <w:color w:val="0D0D0D" w:themeColor="text1" w:themeTint="F2"/>
          <w:sz w:val="20"/>
          <w:szCs w:val="20"/>
        </w:rPr>
        <w:t xml:space="preserve">are rising </w:t>
      </w:r>
      <w:r w:rsidRPr="00584DFE">
        <w:rPr>
          <w:rFonts w:ascii="Kigelia Light" w:hAnsi="Kigelia Light" w:cs="Kigelia Light"/>
          <w:color w:val="0D0D0D" w:themeColor="text1" w:themeTint="F2"/>
          <w:sz w:val="20"/>
          <w:szCs w:val="20"/>
        </w:rPr>
        <w:t>amid the war in the Middle East</w:t>
      </w:r>
      <w:r w:rsidR="004851DF">
        <w:rPr>
          <w:rFonts w:ascii="Kigelia Light" w:hAnsi="Kigelia Light" w:cs="Kigelia Light"/>
          <w:color w:val="0D0D0D" w:themeColor="text1" w:themeTint="F2"/>
          <w:sz w:val="20"/>
          <w:szCs w:val="20"/>
        </w:rPr>
        <w:t>. These</w:t>
      </w:r>
      <w:r w:rsidR="00B97670">
        <w:rPr>
          <w:rFonts w:ascii="Kigelia Light" w:hAnsi="Kigelia Light" w:cs="Kigelia Light"/>
          <w:color w:val="0D0D0D" w:themeColor="text1" w:themeTint="F2"/>
          <w:sz w:val="20"/>
          <w:szCs w:val="20"/>
        </w:rPr>
        <w:t xml:space="preserve"> are moving</w:t>
      </w:r>
      <w:r w:rsidR="004707FB">
        <w:rPr>
          <w:rFonts w:ascii="Kigelia Light" w:hAnsi="Kigelia Light" w:cs="Kigelia Light"/>
          <w:color w:val="0D0D0D" w:themeColor="text1" w:themeTint="F2"/>
          <w:sz w:val="20"/>
          <w:szCs w:val="20"/>
        </w:rPr>
        <w:t xml:space="preserve"> i</w:t>
      </w:r>
      <w:r w:rsidR="007C6576">
        <w:rPr>
          <w:rFonts w:ascii="Kigelia Light" w:hAnsi="Kigelia Light" w:cs="Kigelia Light"/>
          <w:color w:val="0D0D0D" w:themeColor="text1" w:themeTint="F2"/>
          <w:sz w:val="20"/>
          <w:szCs w:val="20"/>
        </w:rPr>
        <w:t>nflation</w:t>
      </w:r>
      <w:r w:rsidR="00C875A1" w:rsidRPr="00584DFE">
        <w:rPr>
          <w:rFonts w:ascii="Kigelia Light" w:hAnsi="Kigelia Light" w:cs="Kigelia Light"/>
          <w:color w:val="0D0D0D" w:themeColor="text1" w:themeTint="F2"/>
          <w:sz w:val="20"/>
          <w:szCs w:val="20"/>
        </w:rPr>
        <w:t xml:space="preserve"> higher than expected</w:t>
      </w:r>
      <w:r w:rsidR="001D4B45">
        <w:rPr>
          <w:rFonts w:ascii="Kigelia Light" w:hAnsi="Kigelia Light" w:cs="Kigelia Light"/>
          <w:color w:val="0D0D0D" w:themeColor="text1" w:themeTint="F2"/>
          <w:sz w:val="20"/>
          <w:szCs w:val="20"/>
        </w:rPr>
        <w:t xml:space="preserve">; it </w:t>
      </w:r>
      <w:r w:rsidR="00C432F3">
        <w:rPr>
          <w:rFonts w:ascii="Kigelia Light" w:hAnsi="Kigelia Light" w:cs="Kigelia Light"/>
          <w:color w:val="0D0D0D" w:themeColor="text1" w:themeTint="F2"/>
          <w:sz w:val="20"/>
          <w:szCs w:val="20"/>
        </w:rPr>
        <w:t>has ticked up</w:t>
      </w:r>
      <w:r w:rsidR="001D4B45">
        <w:rPr>
          <w:rFonts w:ascii="Kigelia Light" w:hAnsi="Kigelia Light" w:cs="Kigelia Light"/>
          <w:color w:val="0D0D0D" w:themeColor="text1" w:themeTint="F2"/>
          <w:sz w:val="20"/>
          <w:szCs w:val="20"/>
        </w:rPr>
        <w:t>.</w:t>
      </w:r>
    </w:p>
    <w:p w14:paraId="5CC7F875" w14:textId="77777777" w:rsidR="00584DFE" w:rsidRDefault="00584DFE" w:rsidP="002262CF">
      <w:pPr>
        <w:spacing w:after="0" w:line="360" w:lineRule="atLeast"/>
        <w:rPr>
          <w:rFonts w:ascii="Kigelia Light" w:hAnsi="Kigelia Light" w:cs="Kigelia Light"/>
          <w:color w:val="0D0D0D" w:themeColor="text1" w:themeTint="F2"/>
          <w:sz w:val="20"/>
          <w:szCs w:val="20"/>
        </w:rPr>
      </w:pPr>
    </w:p>
    <w:p w14:paraId="16DC32E3" w14:textId="484E8B3A" w:rsidR="00EE34AA" w:rsidRDefault="00806BAC" w:rsidP="00DC7324">
      <w:pPr>
        <w:spacing w:after="0" w:line="360" w:lineRule="atLeast"/>
        <w:rPr>
          <w:rFonts w:ascii="Kigelia Light" w:hAnsi="Kigelia Light" w:cs="Kigelia Light"/>
          <w:color w:val="0D0D0D" w:themeColor="text1" w:themeTint="F2"/>
          <w:sz w:val="20"/>
          <w:szCs w:val="20"/>
        </w:rPr>
      </w:pPr>
      <w:r>
        <w:rPr>
          <w:rFonts w:ascii="Kigelia Light" w:hAnsi="Kigelia Light" w:cs="Kigelia Light"/>
          <w:color w:val="0D0D0D" w:themeColor="text1" w:themeTint="F2"/>
          <w:sz w:val="20"/>
          <w:szCs w:val="20"/>
        </w:rPr>
        <w:t xml:space="preserve">Inflation is outside the Reserve Bank of Australia’s target of </w:t>
      </w:r>
      <w:r w:rsidR="005511B6">
        <w:rPr>
          <w:rFonts w:ascii="Kigelia Light" w:hAnsi="Kigelia Light" w:cs="Kigelia Light"/>
          <w:color w:val="0D0D0D" w:themeColor="text1" w:themeTint="F2"/>
          <w:sz w:val="20"/>
          <w:szCs w:val="20"/>
        </w:rPr>
        <w:t xml:space="preserve">the midpoint of </w:t>
      </w:r>
      <w:r>
        <w:rPr>
          <w:rFonts w:ascii="Kigelia Light" w:hAnsi="Kigelia Light" w:cs="Kigelia Light"/>
          <w:color w:val="0D0D0D" w:themeColor="text1" w:themeTint="F2"/>
          <w:sz w:val="20"/>
          <w:szCs w:val="20"/>
        </w:rPr>
        <w:t xml:space="preserve">2 per cent to 3 per cent. </w:t>
      </w:r>
      <w:r w:rsidR="0032642D">
        <w:rPr>
          <w:rFonts w:ascii="Kigelia Light" w:hAnsi="Kigelia Light" w:cs="Kigelia Light"/>
          <w:color w:val="0D0D0D" w:themeColor="text1" w:themeTint="F2"/>
          <w:sz w:val="20"/>
          <w:szCs w:val="20"/>
        </w:rPr>
        <w:t>The C</w:t>
      </w:r>
      <w:r w:rsidR="0027203A">
        <w:rPr>
          <w:rFonts w:ascii="Kigelia Light" w:hAnsi="Kigelia Light" w:cs="Kigelia Light"/>
          <w:color w:val="0D0D0D" w:themeColor="text1" w:themeTint="F2"/>
          <w:sz w:val="20"/>
          <w:szCs w:val="20"/>
        </w:rPr>
        <w:t>onsumer Price Index</w:t>
      </w:r>
      <w:r w:rsidR="0032642D">
        <w:rPr>
          <w:rFonts w:ascii="Kigelia Light" w:hAnsi="Kigelia Light" w:cs="Kigelia Light"/>
          <w:color w:val="0D0D0D" w:themeColor="text1" w:themeTint="F2"/>
          <w:sz w:val="20"/>
          <w:szCs w:val="20"/>
        </w:rPr>
        <w:t xml:space="preserve"> </w:t>
      </w:r>
      <w:r w:rsidR="004825DD">
        <w:rPr>
          <w:rFonts w:ascii="Kigelia Light" w:hAnsi="Kigelia Light" w:cs="Kigelia Light"/>
          <w:color w:val="0D0D0D" w:themeColor="text1" w:themeTint="F2"/>
          <w:sz w:val="20"/>
          <w:szCs w:val="20"/>
        </w:rPr>
        <w:t>rose</w:t>
      </w:r>
      <w:r w:rsidR="0032642D">
        <w:rPr>
          <w:rFonts w:ascii="Kigelia Light" w:hAnsi="Kigelia Light" w:cs="Kigelia Light"/>
          <w:color w:val="0D0D0D" w:themeColor="text1" w:themeTint="F2"/>
          <w:sz w:val="20"/>
          <w:szCs w:val="20"/>
        </w:rPr>
        <w:t xml:space="preserve"> </w:t>
      </w:r>
      <w:r w:rsidR="00811509">
        <w:rPr>
          <w:rFonts w:ascii="Kigelia Light" w:hAnsi="Kigelia Light" w:cs="Kigelia Light"/>
          <w:color w:val="0D0D0D" w:themeColor="text1" w:themeTint="F2"/>
          <w:sz w:val="20"/>
          <w:szCs w:val="20"/>
        </w:rPr>
        <w:t>4</w:t>
      </w:r>
      <w:r w:rsidR="0032642D">
        <w:rPr>
          <w:rFonts w:ascii="Kigelia Light" w:hAnsi="Kigelia Light" w:cs="Kigelia Light"/>
          <w:color w:val="0D0D0D" w:themeColor="text1" w:themeTint="F2"/>
          <w:sz w:val="20"/>
          <w:szCs w:val="20"/>
        </w:rPr>
        <w:t xml:space="preserve"> per cent </w:t>
      </w:r>
      <w:r w:rsidR="004825DD">
        <w:rPr>
          <w:rFonts w:ascii="Kigelia Light" w:hAnsi="Kigelia Light" w:cs="Kigelia Light"/>
          <w:color w:val="0D0D0D" w:themeColor="text1" w:themeTint="F2"/>
          <w:sz w:val="20"/>
          <w:szCs w:val="20"/>
        </w:rPr>
        <w:t>over the twelve months to</w:t>
      </w:r>
      <w:r w:rsidR="0032642D">
        <w:rPr>
          <w:rFonts w:ascii="Kigelia Light" w:hAnsi="Kigelia Light" w:cs="Kigelia Light"/>
          <w:color w:val="0D0D0D" w:themeColor="text1" w:themeTint="F2"/>
          <w:sz w:val="20"/>
          <w:szCs w:val="20"/>
        </w:rPr>
        <w:t xml:space="preserve"> </w:t>
      </w:r>
      <w:r w:rsidR="00811509">
        <w:rPr>
          <w:rFonts w:ascii="Kigelia Light" w:hAnsi="Kigelia Light" w:cs="Kigelia Light"/>
          <w:color w:val="0D0D0D" w:themeColor="text1" w:themeTint="F2"/>
          <w:sz w:val="20"/>
          <w:szCs w:val="20"/>
        </w:rPr>
        <w:t>August</w:t>
      </w:r>
      <w:r w:rsidR="004825DD">
        <w:rPr>
          <w:rFonts w:ascii="Kigelia Light" w:hAnsi="Kigelia Light" w:cs="Kigelia Light"/>
          <w:color w:val="0D0D0D" w:themeColor="text1" w:themeTint="F2"/>
          <w:sz w:val="20"/>
          <w:szCs w:val="20"/>
        </w:rPr>
        <w:t xml:space="preserve"> and</w:t>
      </w:r>
      <w:r w:rsidR="00296873">
        <w:rPr>
          <w:rFonts w:ascii="Kigelia Light" w:hAnsi="Kigelia Light" w:cs="Kigelia Light"/>
          <w:color w:val="0D0D0D" w:themeColor="text1" w:themeTint="F2"/>
          <w:sz w:val="20"/>
          <w:szCs w:val="20"/>
        </w:rPr>
        <w:t xml:space="preserve"> </w:t>
      </w:r>
      <w:r w:rsidR="00D8553C">
        <w:rPr>
          <w:rFonts w:ascii="Kigelia Light" w:hAnsi="Kigelia Light" w:cs="Kigelia Light"/>
          <w:color w:val="0D0D0D" w:themeColor="text1" w:themeTint="F2"/>
          <w:sz w:val="20"/>
          <w:szCs w:val="20"/>
        </w:rPr>
        <w:t xml:space="preserve">0.4 per cent for the month, lower than the 1 per cent </w:t>
      </w:r>
      <w:r w:rsidR="000D32E9">
        <w:rPr>
          <w:rFonts w:ascii="Kigelia Light" w:hAnsi="Kigelia Light" w:cs="Kigelia Light"/>
          <w:color w:val="0D0D0D" w:themeColor="text1" w:themeTint="F2"/>
          <w:sz w:val="20"/>
          <w:szCs w:val="20"/>
        </w:rPr>
        <w:t>spring</w:t>
      </w:r>
      <w:r w:rsidR="00B1294E">
        <w:rPr>
          <w:rFonts w:ascii="Kigelia Light" w:hAnsi="Kigelia Light" w:cs="Kigelia Light"/>
          <w:color w:val="0D0D0D" w:themeColor="text1" w:themeTint="F2"/>
          <w:sz w:val="20"/>
          <w:szCs w:val="20"/>
        </w:rPr>
        <w:t xml:space="preserve"> up</w:t>
      </w:r>
      <w:r w:rsidR="004825DD">
        <w:rPr>
          <w:rFonts w:ascii="Kigelia Light" w:hAnsi="Kigelia Light" w:cs="Kigelia Light"/>
          <w:color w:val="0D0D0D" w:themeColor="text1" w:themeTint="F2"/>
          <w:sz w:val="20"/>
          <w:szCs w:val="20"/>
        </w:rPr>
        <w:t xml:space="preserve"> in the</w:t>
      </w:r>
      <w:r w:rsidR="00D8553C">
        <w:rPr>
          <w:rFonts w:ascii="Kigelia Light" w:hAnsi="Kigelia Light" w:cs="Kigelia Light"/>
          <w:color w:val="0D0D0D" w:themeColor="text1" w:themeTint="F2"/>
          <w:sz w:val="20"/>
          <w:szCs w:val="20"/>
        </w:rPr>
        <w:t xml:space="preserve"> previous</w:t>
      </w:r>
      <w:r w:rsidR="004825DD">
        <w:rPr>
          <w:rFonts w:ascii="Kigelia Light" w:hAnsi="Kigelia Light" w:cs="Kigelia Light"/>
          <w:color w:val="0D0D0D" w:themeColor="text1" w:themeTint="F2"/>
          <w:sz w:val="20"/>
          <w:szCs w:val="20"/>
        </w:rPr>
        <w:t xml:space="preserve"> month</w:t>
      </w:r>
      <w:r w:rsidR="00296873">
        <w:rPr>
          <w:rFonts w:ascii="Kigelia Light" w:hAnsi="Kigelia Light" w:cs="Kigelia Light"/>
          <w:color w:val="0D0D0D" w:themeColor="text1" w:themeTint="F2"/>
          <w:sz w:val="20"/>
          <w:szCs w:val="20"/>
        </w:rPr>
        <w:t xml:space="preserve">, </w:t>
      </w:r>
      <w:r w:rsidR="00D8553C">
        <w:rPr>
          <w:rFonts w:ascii="Kigelia Light" w:hAnsi="Kigelia Light" w:cs="Kigelia Light"/>
          <w:color w:val="0D0D0D" w:themeColor="text1" w:themeTint="F2"/>
          <w:sz w:val="20"/>
          <w:szCs w:val="20"/>
        </w:rPr>
        <w:t xml:space="preserve">that </w:t>
      </w:r>
      <w:r w:rsidR="00296873">
        <w:rPr>
          <w:rFonts w:ascii="Kigelia Light" w:hAnsi="Kigelia Light" w:cs="Kigelia Light"/>
          <w:color w:val="0D0D0D" w:themeColor="text1" w:themeTint="F2"/>
          <w:sz w:val="20"/>
          <w:szCs w:val="20"/>
        </w:rPr>
        <w:t>partially revers</w:t>
      </w:r>
      <w:r w:rsidR="00D8553C">
        <w:rPr>
          <w:rFonts w:ascii="Kigelia Light" w:hAnsi="Kigelia Light" w:cs="Kigelia Light"/>
          <w:color w:val="0D0D0D" w:themeColor="text1" w:themeTint="F2"/>
          <w:sz w:val="20"/>
          <w:szCs w:val="20"/>
        </w:rPr>
        <w:t>ed</w:t>
      </w:r>
      <w:r w:rsidR="00296873">
        <w:rPr>
          <w:rFonts w:ascii="Kigelia Light" w:hAnsi="Kigelia Light" w:cs="Kigelia Light"/>
          <w:color w:val="0D0D0D" w:themeColor="text1" w:themeTint="F2"/>
          <w:sz w:val="20"/>
          <w:szCs w:val="20"/>
        </w:rPr>
        <w:t xml:space="preserve"> falls</w:t>
      </w:r>
      <w:r w:rsidR="004825DD">
        <w:rPr>
          <w:rFonts w:ascii="Kigelia Light" w:hAnsi="Kigelia Light" w:cs="Kigelia Light"/>
          <w:color w:val="0D0D0D" w:themeColor="text1" w:themeTint="F2"/>
          <w:sz w:val="20"/>
          <w:szCs w:val="20"/>
        </w:rPr>
        <w:t xml:space="preserve">. </w:t>
      </w:r>
      <w:r w:rsidR="00A86EE4">
        <w:rPr>
          <w:rFonts w:ascii="Kigelia Light" w:hAnsi="Kigelia Light" w:cs="Kigelia Light"/>
          <w:color w:val="0D0D0D" w:themeColor="text1" w:themeTint="F2"/>
          <w:sz w:val="20"/>
          <w:szCs w:val="20"/>
        </w:rPr>
        <w:t xml:space="preserve">Price rises in August are seasonally low; the seasonally adjusted CPI rose 0.7 per cent in the month. Taking out volatile items, however, prices were unchanged for the month. </w:t>
      </w:r>
      <w:r w:rsidR="001834D8">
        <w:rPr>
          <w:rFonts w:ascii="Kigelia Light" w:hAnsi="Kigelia Light" w:cs="Kigelia Light"/>
          <w:color w:val="0D0D0D" w:themeColor="text1" w:themeTint="F2"/>
          <w:sz w:val="20"/>
          <w:szCs w:val="20"/>
        </w:rPr>
        <w:t xml:space="preserve">Underlying inflation </w:t>
      </w:r>
      <w:r w:rsidR="002E714B">
        <w:rPr>
          <w:rFonts w:ascii="Kigelia Light" w:hAnsi="Kigelia Light" w:cs="Kigelia Light"/>
          <w:color w:val="0D0D0D" w:themeColor="text1" w:themeTint="F2"/>
          <w:sz w:val="20"/>
          <w:szCs w:val="20"/>
        </w:rPr>
        <w:t>r</w:t>
      </w:r>
      <w:r w:rsidR="00DF082D">
        <w:rPr>
          <w:rFonts w:ascii="Kigelia Light" w:hAnsi="Kigelia Light" w:cs="Kigelia Light"/>
          <w:color w:val="0D0D0D" w:themeColor="text1" w:themeTint="F2"/>
          <w:sz w:val="20"/>
          <w:szCs w:val="20"/>
        </w:rPr>
        <w:t>ose just 0.3 per cent in the month</w:t>
      </w:r>
      <w:r w:rsidR="00BF383D">
        <w:rPr>
          <w:rFonts w:ascii="Kigelia Light" w:hAnsi="Kigelia Light" w:cs="Kigelia Light"/>
          <w:color w:val="0D0D0D" w:themeColor="text1" w:themeTint="F2"/>
          <w:sz w:val="20"/>
          <w:szCs w:val="20"/>
        </w:rPr>
        <w:t>,</w:t>
      </w:r>
      <w:r w:rsidR="0088187F">
        <w:rPr>
          <w:rFonts w:ascii="Kigelia Light" w:hAnsi="Kigelia Light" w:cs="Kigelia Light"/>
          <w:color w:val="0D0D0D" w:themeColor="text1" w:themeTint="F2"/>
          <w:sz w:val="20"/>
          <w:szCs w:val="20"/>
        </w:rPr>
        <w:t xml:space="preserve"> </w:t>
      </w:r>
      <w:r w:rsidR="00BF383D">
        <w:rPr>
          <w:rFonts w:ascii="Kigelia Light" w:hAnsi="Kigelia Light" w:cs="Kigelia Light"/>
          <w:color w:val="0D0D0D" w:themeColor="text1" w:themeTint="F2"/>
          <w:sz w:val="20"/>
          <w:szCs w:val="20"/>
        </w:rPr>
        <w:t>equal</w:t>
      </w:r>
      <w:r w:rsidR="00DC7324">
        <w:rPr>
          <w:rFonts w:ascii="Kigelia Light" w:hAnsi="Kigelia Light" w:cs="Kigelia Light"/>
          <w:color w:val="0D0D0D" w:themeColor="text1" w:themeTint="F2"/>
          <w:sz w:val="20"/>
          <w:szCs w:val="20"/>
        </w:rPr>
        <w:t>,</w:t>
      </w:r>
      <w:r w:rsidR="00BF383D">
        <w:rPr>
          <w:rFonts w:ascii="Kigelia Light" w:hAnsi="Kigelia Light" w:cs="Kigelia Light"/>
          <w:color w:val="0D0D0D" w:themeColor="text1" w:themeTint="F2"/>
          <w:sz w:val="20"/>
          <w:szCs w:val="20"/>
        </w:rPr>
        <w:t xml:space="preserve"> </w:t>
      </w:r>
      <w:r w:rsidR="00DC7324">
        <w:rPr>
          <w:rFonts w:ascii="Kigelia Light" w:hAnsi="Kigelia Light" w:cs="Kigelia Light"/>
          <w:color w:val="0D0D0D" w:themeColor="text1" w:themeTint="F2"/>
          <w:sz w:val="20"/>
          <w:szCs w:val="20"/>
        </w:rPr>
        <w:t xml:space="preserve">if it continues, </w:t>
      </w:r>
      <w:r w:rsidR="00BF383D">
        <w:rPr>
          <w:rFonts w:ascii="Kigelia Light" w:hAnsi="Kigelia Light" w:cs="Kigelia Light"/>
          <w:color w:val="0D0D0D" w:themeColor="text1" w:themeTint="F2"/>
          <w:sz w:val="20"/>
          <w:szCs w:val="20"/>
        </w:rPr>
        <w:t xml:space="preserve">to the yearly result of </w:t>
      </w:r>
      <w:r w:rsidR="001834D8">
        <w:rPr>
          <w:rFonts w:ascii="Kigelia Light" w:hAnsi="Kigelia Light" w:cs="Kigelia Light"/>
          <w:color w:val="0D0D0D" w:themeColor="text1" w:themeTint="F2"/>
          <w:sz w:val="20"/>
          <w:szCs w:val="20"/>
        </w:rPr>
        <w:t>3.6 per cent.</w:t>
      </w:r>
      <w:r w:rsidR="002B3715">
        <w:rPr>
          <w:rFonts w:ascii="Kigelia Light" w:hAnsi="Kigelia Light" w:cs="Kigelia Light"/>
          <w:color w:val="0D0D0D" w:themeColor="text1" w:themeTint="F2"/>
          <w:sz w:val="20"/>
          <w:szCs w:val="20"/>
        </w:rPr>
        <w:t xml:space="preserve"> </w:t>
      </w:r>
      <w:r w:rsidR="002E08B5">
        <w:rPr>
          <w:rFonts w:ascii="Kigelia Light" w:hAnsi="Kigelia Light" w:cs="Kigelia Light"/>
          <w:color w:val="0D0D0D" w:themeColor="text1" w:themeTint="F2"/>
          <w:sz w:val="20"/>
          <w:szCs w:val="20"/>
        </w:rPr>
        <w:t>The</w:t>
      </w:r>
      <w:r w:rsidR="00521422">
        <w:rPr>
          <w:rFonts w:ascii="Kigelia Light" w:hAnsi="Kigelia Light" w:cs="Kigelia Light"/>
          <w:color w:val="0D0D0D" w:themeColor="text1" w:themeTint="F2"/>
          <w:sz w:val="20"/>
          <w:szCs w:val="20"/>
        </w:rPr>
        <w:t xml:space="preserve"> return to full excise</w:t>
      </w:r>
      <w:r w:rsidR="002E08B5">
        <w:rPr>
          <w:rFonts w:ascii="Kigelia Light" w:hAnsi="Kigelia Light" w:cs="Kigelia Light"/>
          <w:color w:val="0D0D0D" w:themeColor="text1" w:themeTint="F2"/>
          <w:sz w:val="20"/>
          <w:szCs w:val="20"/>
        </w:rPr>
        <w:t xml:space="preserve"> </w:t>
      </w:r>
      <w:r w:rsidR="008254FA">
        <w:rPr>
          <w:rFonts w:ascii="Kigelia Light" w:hAnsi="Kigelia Light" w:cs="Kigelia Light"/>
          <w:color w:val="0D0D0D" w:themeColor="text1" w:themeTint="F2"/>
          <w:sz w:val="20"/>
          <w:szCs w:val="20"/>
        </w:rPr>
        <w:t>drives</w:t>
      </w:r>
      <w:r w:rsidR="00521422">
        <w:rPr>
          <w:rFonts w:ascii="Kigelia Light" w:hAnsi="Kigelia Light" w:cs="Kigelia Light"/>
          <w:color w:val="0D0D0D" w:themeColor="text1" w:themeTint="F2"/>
          <w:sz w:val="20"/>
          <w:szCs w:val="20"/>
        </w:rPr>
        <w:t xml:space="preserve"> </w:t>
      </w:r>
      <w:r w:rsidR="002E08B5">
        <w:rPr>
          <w:rFonts w:ascii="Kigelia Light" w:hAnsi="Kigelia Light" w:cs="Kigelia Light"/>
          <w:color w:val="0D0D0D" w:themeColor="text1" w:themeTint="F2"/>
          <w:sz w:val="20"/>
          <w:szCs w:val="20"/>
        </w:rPr>
        <w:t>engine</w:t>
      </w:r>
      <w:r w:rsidR="003B2349">
        <w:rPr>
          <w:rFonts w:ascii="Kigelia Light" w:hAnsi="Kigelia Light" w:cs="Kigelia Light"/>
          <w:color w:val="0D0D0D" w:themeColor="text1" w:themeTint="F2"/>
          <w:sz w:val="20"/>
          <w:szCs w:val="20"/>
        </w:rPr>
        <w:t xml:space="preserve"> fuel prices</w:t>
      </w:r>
      <w:r w:rsidR="00F315BD">
        <w:rPr>
          <w:rFonts w:ascii="Kigelia Light" w:hAnsi="Kigelia Light" w:cs="Kigelia Light"/>
          <w:color w:val="0D0D0D" w:themeColor="text1" w:themeTint="F2"/>
          <w:sz w:val="20"/>
          <w:szCs w:val="20"/>
        </w:rPr>
        <w:t xml:space="preserve"> </w:t>
      </w:r>
      <w:r w:rsidR="00587DEA">
        <w:rPr>
          <w:rFonts w:ascii="Kigelia Light" w:hAnsi="Kigelia Light" w:cs="Kigelia Light"/>
          <w:color w:val="0D0D0D" w:themeColor="text1" w:themeTint="F2"/>
          <w:sz w:val="20"/>
          <w:szCs w:val="20"/>
        </w:rPr>
        <w:t xml:space="preserve">23.4 per cent </w:t>
      </w:r>
      <w:r w:rsidR="009F09FD">
        <w:rPr>
          <w:rFonts w:ascii="Kigelia Light" w:hAnsi="Kigelia Light" w:cs="Kigelia Light"/>
          <w:color w:val="0D0D0D" w:themeColor="text1" w:themeTint="F2"/>
          <w:sz w:val="20"/>
          <w:szCs w:val="20"/>
        </w:rPr>
        <w:t>higher</w:t>
      </w:r>
      <w:r w:rsidR="00F315BD">
        <w:rPr>
          <w:rFonts w:ascii="Kigelia Light" w:hAnsi="Kigelia Light" w:cs="Kigelia Light"/>
          <w:color w:val="0D0D0D" w:themeColor="text1" w:themeTint="F2"/>
          <w:sz w:val="20"/>
          <w:szCs w:val="20"/>
        </w:rPr>
        <w:t xml:space="preserve"> </w:t>
      </w:r>
      <w:r w:rsidR="00473F17">
        <w:rPr>
          <w:rFonts w:ascii="Kigelia Light" w:hAnsi="Kigelia Light" w:cs="Kigelia Light"/>
          <w:color w:val="0D0D0D" w:themeColor="text1" w:themeTint="F2"/>
          <w:sz w:val="20"/>
          <w:szCs w:val="20"/>
        </w:rPr>
        <w:t>in</w:t>
      </w:r>
      <w:r w:rsidR="00587DEA">
        <w:rPr>
          <w:rFonts w:ascii="Kigelia Light" w:hAnsi="Kigelia Light" w:cs="Kigelia Light"/>
          <w:color w:val="0D0D0D" w:themeColor="text1" w:themeTint="F2"/>
          <w:sz w:val="20"/>
          <w:szCs w:val="20"/>
        </w:rPr>
        <w:t xml:space="preserve"> two months; prices are 19.7 per cen</w:t>
      </w:r>
      <w:r w:rsidR="00504577">
        <w:rPr>
          <w:rFonts w:ascii="Kigelia Light" w:hAnsi="Kigelia Light" w:cs="Kigelia Light"/>
          <w:color w:val="0D0D0D" w:themeColor="text1" w:themeTint="F2"/>
          <w:sz w:val="20"/>
          <w:szCs w:val="20"/>
        </w:rPr>
        <w:t>t</w:t>
      </w:r>
      <w:r w:rsidR="00587DEA">
        <w:rPr>
          <w:rFonts w:ascii="Kigelia Light" w:hAnsi="Kigelia Light" w:cs="Kigelia Light"/>
          <w:color w:val="0D0D0D" w:themeColor="text1" w:themeTint="F2"/>
          <w:sz w:val="20"/>
          <w:szCs w:val="20"/>
        </w:rPr>
        <w:t xml:space="preserve"> high</w:t>
      </w:r>
      <w:r w:rsidR="00504577">
        <w:rPr>
          <w:rFonts w:ascii="Kigelia Light" w:hAnsi="Kigelia Light" w:cs="Kigelia Light"/>
          <w:color w:val="0D0D0D" w:themeColor="text1" w:themeTint="F2"/>
          <w:sz w:val="20"/>
          <w:szCs w:val="20"/>
        </w:rPr>
        <w:t>e</w:t>
      </w:r>
      <w:r w:rsidR="00587DEA">
        <w:rPr>
          <w:rFonts w:ascii="Kigelia Light" w:hAnsi="Kigelia Light" w:cs="Kigelia Light"/>
          <w:color w:val="0D0D0D" w:themeColor="text1" w:themeTint="F2"/>
          <w:sz w:val="20"/>
          <w:szCs w:val="20"/>
        </w:rPr>
        <w:t xml:space="preserve">r than in </w:t>
      </w:r>
      <w:r w:rsidR="00504577">
        <w:rPr>
          <w:rFonts w:ascii="Kigelia Light" w:hAnsi="Kigelia Light" w:cs="Kigelia Light"/>
          <w:color w:val="0D0D0D" w:themeColor="text1" w:themeTint="F2"/>
          <w:sz w:val="20"/>
          <w:szCs w:val="20"/>
        </w:rPr>
        <w:t>February</w:t>
      </w:r>
      <w:r w:rsidR="003B2349">
        <w:rPr>
          <w:rFonts w:ascii="Kigelia Light" w:hAnsi="Kigelia Light" w:cs="Kigelia Light"/>
          <w:color w:val="0D0D0D" w:themeColor="text1" w:themeTint="F2"/>
          <w:sz w:val="20"/>
          <w:szCs w:val="20"/>
        </w:rPr>
        <w:t xml:space="preserve">. </w:t>
      </w:r>
      <w:r w:rsidR="0098654E">
        <w:rPr>
          <w:rFonts w:ascii="Kigelia Light" w:hAnsi="Kigelia Light" w:cs="Kigelia Light"/>
          <w:color w:val="0D0D0D" w:themeColor="text1" w:themeTint="F2"/>
          <w:sz w:val="20"/>
          <w:szCs w:val="20"/>
        </w:rPr>
        <w:t xml:space="preserve">Electricity prices </w:t>
      </w:r>
      <w:r w:rsidR="009F3A20">
        <w:rPr>
          <w:rFonts w:ascii="Kigelia Light" w:hAnsi="Kigelia Light" w:cs="Kigelia Light"/>
          <w:color w:val="0D0D0D" w:themeColor="text1" w:themeTint="F2"/>
          <w:sz w:val="20"/>
          <w:szCs w:val="20"/>
        </w:rPr>
        <w:t>are</w:t>
      </w:r>
      <w:r w:rsidR="0098654E">
        <w:rPr>
          <w:rFonts w:ascii="Kigelia Light" w:hAnsi="Kigelia Light" w:cs="Kigelia Light"/>
          <w:color w:val="0D0D0D" w:themeColor="text1" w:themeTint="F2"/>
          <w:sz w:val="20"/>
          <w:szCs w:val="20"/>
        </w:rPr>
        <w:t xml:space="preserve"> 1</w:t>
      </w:r>
      <w:r w:rsidR="00E90785">
        <w:rPr>
          <w:rFonts w:ascii="Kigelia Light" w:hAnsi="Kigelia Light" w:cs="Kigelia Light"/>
          <w:color w:val="0D0D0D" w:themeColor="text1" w:themeTint="F2"/>
          <w:sz w:val="20"/>
          <w:szCs w:val="20"/>
        </w:rPr>
        <w:t>3.2</w:t>
      </w:r>
      <w:r w:rsidR="0098654E">
        <w:rPr>
          <w:rFonts w:ascii="Kigelia Light" w:hAnsi="Kigelia Light" w:cs="Kigelia Light"/>
          <w:color w:val="0D0D0D" w:themeColor="text1" w:themeTint="F2"/>
          <w:sz w:val="20"/>
          <w:szCs w:val="20"/>
        </w:rPr>
        <w:t xml:space="preserve"> per cent higher than twelve months ago. </w:t>
      </w:r>
      <w:r w:rsidR="002E13D5">
        <w:rPr>
          <w:rFonts w:ascii="Kigelia Light" w:hAnsi="Kigelia Light" w:cs="Kigelia Light"/>
          <w:color w:val="0D0D0D" w:themeColor="text1" w:themeTint="F2"/>
          <w:sz w:val="20"/>
          <w:szCs w:val="20"/>
        </w:rPr>
        <w:t xml:space="preserve">Audio, visual and computer equipment prices rose after sharp increases in July. </w:t>
      </w:r>
      <w:r w:rsidR="00592AB7">
        <w:rPr>
          <w:rFonts w:ascii="Kigelia Light" w:hAnsi="Kigelia Light" w:cs="Kigelia Light"/>
          <w:color w:val="0D0D0D" w:themeColor="text1" w:themeTint="F2"/>
          <w:sz w:val="20"/>
          <w:szCs w:val="20"/>
        </w:rPr>
        <w:t>Fortunately, m</w:t>
      </w:r>
      <w:r w:rsidR="00085D01">
        <w:rPr>
          <w:rFonts w:ascii="Kigelia Light" w:hAnsi="Kigelia Light" w:cs="Kigelia Light"/>
          <w:color w:val="0D0D0D" w:themeColor="text1" w:themeTint="F2"/>
          <w:sz w:val="20"/>
          <w:szCs w:val="20"/>
        </w:rPr>
        <w:t>any food prices continue to fall</w:t>
      </w:r>
      <w:r w:rsidR="00DF686F">
        <w:rPr>
          <w:rFonts w:ascii="Kigelia Light" w:hAnsi="Kigelia Light" w:cs="Kigelia Light"/>
          <w:color w:val="0D0D0D" w:themeColor="text1" w:themeTint="F2"/>
          <w:sz w:val="20"/>
          <w:szCs w:val="20"/>
        </w:rPr>
        <w:t>,</w:t>
      </w:r>
      <w:r w:rsidR="00592AB7">
        <w:rPr>
          <w:rFonts w:ascii="Kigelia Light" w:hAnsi="Kigelia Light" w:cs="Kigelia Light"/>
          <w:color w:val="0D0D0D" w:themeColor="text1" w:themeTint="F2"/>
          <w:sz w:val="20"/>
          <w:szCs w:val="20"/>
        </w:rPr>
        <w:t xml:space="preserve"> p</w:t>
      </w:r>
      <w:r w:rsidR="00085D01">
        <w:rPr>
          <w:rFonts w:ascii="Kigelia Light" w:hAnsi="Kigelia Light" w:cs="Kigelia Light"/>
          <w:color w:val="0D0D0D" w:themeColor="text1" w:themeTint="F2"/>
          <w:sz w:val="20"/>
          <w:szCs w:val="20"/>
        </w:rPr>
        <w:t>rices for several clothing items f</w:t>
      </w:r>
      <w:r w:rsidR="00A86EE4">
        <w:rPr>
          <w:rFonts w:ascii="Kigelia Light" w:hAnsi="Kigelia Light" w:cs="Kigelia Light"/>
          <w:color w:val="0D0D0D" w:themeColor="text1" w:themeTint="F2"/>
          <w:sz w:val="20"/>
          <w:szCs w:val="20"/>
        </w:rPr>
        <w:t>e</w:t>
      </w:r>
      <w:r w:rsidR="00085D01">
        <w:rPr>
          <w:rFonts w:ascii="Kigelia Light" w:hAnsi="Kigelia Light" w:cs="Kigelia Light"/>
          <w:color w:val="0D0D0D" w:themeColor="text1" w:themeTint="F2"/>
          <w:sz w:val="20"/>
          <w:szCs w:val="20"/>
        </w:rPr>
        <w:t>ll af</w:t>
      </w:r>
      <w:r w:rsidR="003342E2">
        <w:rPr>
          <w:rFonts w:ascii="Kigelia Light" w:hAnsi="Kigelia Light" w:cs="Kigelia Light"/>
          <w:color w:val="0D0D0D" w:themeColor="text1" w:themeTint="F2"/>
          <w:sz w:val="20"/>
          <w:szCs w:val="20"/>
        </w:rPr>
        <w:t xml:space="preserve">ter sharp rises </w:t>
      </w:r>
      <w:r w:rsidR="00085D01">
        <w:rPr>
          <w:rFonts w:ascii="Kigelia Light" w:hAnsi="Kigelia Light" w:cs="Kigelia Light"/>
          <w:color w:val="0D0D0D" w:themeColor="text1" w:themeTint="F2"/>
          <w:sz w:val="20"/>
          <w:szCs w:val="20"/>
        </w:rPr>
        <w:t>in July</w:t>
      </w:r>
      <w:r w:rsidR="00117FEB">
        <w:rPr>
          <w:rFonts w:ascii="Kigelia Light" w:hAnsi="Kigelia Light" w:cs="Kigelia Light"/>
          <w:color w:val="0D0D0D" w:themeColor="text1" w:themeTint="F2"/>
          <w:sz w:val="20"/>
          <w:szCs w:val="20"/>
        </w:rPr>
        <w:t>,</w:t>
      </w:r>
      <w:r w:rsidR="00934EA0">
        <w:rPr>
          <w:rFonts w:ascii="Kigelia Light" w:hAnsi="Kigelia Light" w:cs="Kigelia Light"/>
          <w:color w:val="0D0D0D" w:themeColor="text1" w:themeTint="F2"/>
          <w:sz w:val="20"/>
          <w:szCs w:val="20"/>
        </w:rPr>
        <w:t xml:space="preserve"> </w:t>
      </w:r>
      <w:r w:rsidR="00C73DD3">
        <w:rPr>
          <w:rFonts w:ascii="Kigelia Light" w:hAnsi="Kigelia Light" w:cs="Kigelia Light"/>
          <w:color w:val="0D0D0D" w:themeColor="text1" w:themeTint="F2"/>
          <w:sz w:val="20"/>
          <w:szCs w:val="20"/>
        </w:rPr>
        <w:t xml:space="preserve">and </w:t>
      </w:r>
      <w:r w:rsidR="00DF686F">
        <w:rPr>
          <w:rFonts w:ascii="Kigelia Light" w:hAnsi="Kigelia Light" w:cs="Kigelia Light"/>
          <w:color w:val="0D0D0D" w:themeColor="text1" w:themeTint="F2"/>
          <w:sz w:val="20"/>
          <w:szCs w:val="20"/>
        </w:rPr>
        <w:t>re</w:t>
      </w:r>
      <w:r w:rsidR="003859F3">
        <w:rPr>
          <w:rFonts w:ascii="Kigelia Light" w:hAnsi="Kigelia Light" w:cs="Kigelia Light"/>
          <w:color w:val="0D0D0D" w:themeColor="text1" w:themeTint="F2"/>
          <w:sz w:val="20"/>
          <w:szCs w:val="20"/>
        </w:rPr>
        <w:t>creation</w:t>
      </w:r>
      <w:r w:rsidR="00317AC2">
        <w:rPr>
          <w:rFonts w:ascii="Kigelia Light" w:hAnsi="Kigelia Light" w:cs="Kigelia Light"/>
          <w:color w:val="0D0D0D" w:themeColor="text1" w:themeTint="F2"/>
          <w:sz w:val="20"/>
          <w:szCs w:val="20"/>
        </w:rPr>
        <w:t xml:space="preserve"> </w:t>
      </w:r>
      <w:r w:rsidR="000A6A5C">
        <w:rPr>
          <w:rFonts w:ascii="Kigelia Light" w:hAnsi="Kigelia Light" w:cs="Kigelia Light"/>
          <w:color w:val="0D0D0D" w:themeColor="text1" w:themeTint="F2"/>
          <w:sz w:val="20"/>
          <w:szCs w:val="20"/>
        </w:rPr>
        <w:t xml:space="preserve">and travel </w:t>
      </w:r>
      <w:r w:rsidR="00317AC2">
        <w:rPr>
          <w:rFonts w:ascii="Kigelia Light" w:hAnsi="Kigelia Light" w:cs="Kigelia Light"/>
          <w:color w:val="0D0D0D" w:themeColor="text1" w:themeTint="F2"/>
          <w:sz w:val="20"/>
          <w:szCs w:val="20"/>
        </w:rPr>
        <w:t xml:space="preserve">prices </w:t>
      </w:r>
      <w:r w:rsidR="00934EA0">
        <w:rPr>
          <w:rFonts w:ascii="Kigelia Light" w:hAnsi="Kigelia Light" w:cs="Kigelia Light"/>
          <w:color w:val="0D0D0D" w:themeColor="text1" w:themeTint="F2"/>
          <w:sz w:val="20"/>
          <w:szCs w:val="20"/>
        </w:rPr>
        <w:t>f</w:t>
      </w:r>
      <w:r w:rsidR="00C73DD3">
        <w:rPr>
          <w:rFonts w:ascii="Kigelia Light" w:hAnsi="Kigelia Light" w:cs="Kigelia Light"/>
          <w:color w:val="0D0D0D" w:themeColor="text1" w:themeTint="F2"/>
          <w:sz w:val="20"/>
          <w:szCs w:val="20"/>
        </w:rPr>
        <w:t>e</w:t>
      </w:r>
      <w:r w:rsidR="00934EA0">
        <w:rPr>
          <w:rFonts w:ascii="Kigelia Light" w:hAnsi="Kigelia Light" w:cs="Kigelia Light"/>
          <w:color w:val="0D0D0D" w:themeColor="text1" w:themeTint="F2"/>
          <w:sz w:val="20"/>
          <w:szCs w:val="20"/>
        </w:rPr>
        <w:t>ll</w:t>
      </w:r>
      <w:r w:rsidR="000A6A5C">
        <w:rPr>
          <w:rFonts w:ascii="Kigelia Light" w:hAnsi="Kigelia Light" w:cs="Kigelia Light"/>
          <w:color w:val="0D0D0D" w:themeColor="text1" w:themeTint="F2"/>
          <w:sz w:val="20"/>
          <w:szCs w:val="20"/>
        </w:rPr>
        <w:t>. U</w:t>
      </w:r>
      <w:r w:rsidR="002E13D5">
        <w:rPr>
          <w:rFonts w:ascii="Kigelia Light" w:hAnsi="Kigelia Light" w:cs="Kigelia Light"/>
          <w:color w:val="0D0D0D" w:themeColor="text1" w:themeTint="F2"/>
          <w:sz w:val="20"/>
          <w:szCs w:val="20"/>
        </w:rPr>
        <w:t xml:space="preserve">rban transport </w:t>
      </w:r>
      <w:r w:rsidR="000A6A5C">
        <w:rPr>
          <w:rFonts w:ascii="Kigelia Light" w:hAnsi="Kigelia Light" w:cs="Kigelia Light"/>
          <w:color w:val="0D0D0D" w:themeColor="text1" w:themeTint="F2"/>
          <w:sz w:val="20"/>
          <w:szCs w:val="20"/>
        </w:rPr>
        <w:t>prices are</w:t>
      </w:r>
      <w:r w:rsidR="002E13D5">
        <w:rPr>
          <w:rFonts w:ascii="Kigelia Light" w:hAnsi="Kigelia Light" w:cs="Kigelia Light"/>
          <w:color w:val="0D0D0D" w:themeColor="text1" w:themeTint="F2"/>
          <w:sz w:val="20"/>
          <w:szCs w:val="20"/>
        </w:rPr>
        <w:t xml:space="preserve"> 12.2 per cent</w:t>
      </w:r>
      <w:r w:rsidR="00EE34AA">
        <w:rPr>
          <w:rFonts w:ascii="Kigelia Light" w:hAnsi="Kigelia Light" w:cs="Kigelia Light"/>
          <w:color w:val="0D0D0D" w:themeColor="text1" w:themeTint="F2"/>
          <w:sz w:val="20"/>
          <w:szCs w:val="20"/>
        </w:rPr>
        <w:t xml:space="preserve"> </w:t>
      </w:r>
      <w:r w:rsidR="00EE34AA">
        <w:rPr>
          <w:rFonts w:ascii="Kigelia Light" w:hAnsi="Kigelia Light" w:cs="Kigelia Light"/>
          <w:color w:val="0D0D0D" w:themeColor="text1" w:themeTint="F2"/>
          <w:sz w:val="20"/>
          <w:szCs w:val="20"/>
        </w:rPr>
        <w:t xml:space="preserve">less than twelve months ago. Prices </w:t>
      </w:r>
      <w:r w:rsidR="00AB0BFC">
        <w:rPr>
          <w:rFonts w:ascii="Kigelia Light" w:hAnsi="Kigelia Light" w:cs="Kigelia Light"/>
          <w:color w:val="0D0D0D" w:themeColor="text1" w:themeTint="F2"/>
          <w:sz w:val="20"/>
          <w:szCs w:val="20"/>
        </w:rPr>
        <w:t xml:space="preserve">rises </w:t>
      </w:r>
      <w:r w:rsidR="00EE34AA">
        <w:rPr>
          <w:rFonts w:ascii="Kigelia Light" w:hAnsi="Kigelia Light" w:cs="Kigelia Light"/>
          <w:color w:val="0D0D0D" w:themeColor="text1" w:themeTint="F2"/>
          <w:sz w:val="20"/>
          <w:szCs w:val="20"/>
        </w:rPr>
        <w:t xml:space="preserve">in the June quarter </w:t>
      </w:r>
      <w:r w:rsidR="00AB0BFC">
        <w:rPr>
          <w:rFonts w:ascii="Kigelia Light" w:hAnsi="Kigelia Light" w:cs="Kigelia Light"/>
          <w:color w:val="0D0D0D" w:themeColor="text1" w:themeTint="F2"/>
          <w:sz w:val="20"/>
          <w:szCs w:val="20"/>
        </w:rPr>
        <w:t xml:space="preserve">were </w:t>
      </w:r>
      <w:r w:rsidR="00EE34AA">
        <w:rPr>
          <w:rFonts w:ascii="Kigelia Light" w:hAnsi="Kigelia Light" w:cs="Kigelia Light"/>
          <w:color w:val="0D0D0D" w:themeColor="text1" w:themeTint="F2"/>
          <w:sz w:val="20"/>
          <w:szCs w:val="20"/>
        </w:rPr>
        <w:t xml:space="preserve">a subdued 0.6 per cent. </w:t>
      </w:r>
    </w:p>
    <w:p w14:paraId="386E88D3" w14:textId="6A493DFE" w:rsidR="00F47831" w:rsidRDefault="002E13D5" w:rsidP="00DC7324">
      <w:pPr>
        <w:spacing w:after="0" w:line="360" w:lineRule="atLeast"/>
        <w:rPr>
          <w:rFonts w:ascii="Kigelia Light" w:hAnsi="Kigelia Light" w:cs="Kigelia Light"/>
          <w:color w:val="0D0D0D" w:themeColor="text1" w:themeTint="F2"/>
          <w:sz w:val="18"/>
          <w:szCs w:val="18"/>
        </w:rPr>
      </w:pPr>
      <w:r>
        <w:rPr>
          <w:rFonts w:ascii="Kigelia Light" w:hAnsi="Kigelia Light" w:cs="Kigelia Light"/>
          <w:color w:val="0D0D0D" w:themeColor="text1" w:themeTint="F2"/>
          <w:sz w:val="20"/>
          <w:szCs w:val="20"/>
        </w:rPr>
        <w:t xml:space="preserve"> </w:t>
      </w:r>
    </w:p>
    <w:tbl>
      <w:tblPr>
        <w:tblW w:w="4625" w:type="dxa"/>
        <w:tblLook w:val="04A0" w:firstRow="1" w:lastRow="0" w:firstColumn="1" w:lastColumn="0" w:noHBand="0" w:noVBand="1"/>
      </w:tblPr>
      <w:tblGrid>
        <w:gridCol w:w="2325"/>
        <w:gridCol w:w="1032"/>
        <w:gridCol w:w="1046"/>
        <w:gridCol w:w="222"/>
      </w:tblGrid>
      <w:tr w:rsidR="00EE34AA" w:rsidRPr="00811509" w14:paraId="398001C7" w14:textId="6003D7B3" w:rsidTr="00EE34AA">
        <w:trPr>
          <w:trHeight w:val="288"/>
        </w:trPr>
        <w:tc>
          <w:tcPr>
            <w:tcW w:w="232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75BDA7" w:themeFill="accent3"/>
            <w:noWrap/>
            <w:vAlign w:val="bottom"/>
            <w:hideMark/>
          </w:tcPr>
          <w:p w14:paraId="3C62A563" w14:textId="77777777" w:rsidR="00EE34AA" w:rsidRPr="00811509" w:rsidRDefault="00EE34AA" w:rsidP="00811509">
            <w:pPr>
              <w:spacing w:after="0" w:line="240" w:lineRule="auto"/>
              <w:rPr>
                <w:rFonts w:ascii="Kigelia Light" w:eastAsia="Times New Roman" w:hAnsi="Kigelia Light" w:cs="Kigelia Light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811509">
              <w:rPr>
                <w:rFonts w:ascii="Kigelia Light" w:eastAsia="Times New Roman" w:hAnsi="Kigelia Light" w:cs="Kigelia Light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Monthly CPI</w:t>
            </w:r>
          </w:p>
        </w:tc>
        <w:tc>
          <w:tcPr>
            <w:tcW w:w="1032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75BDA7" w:themeFill="accent3"/>
            <w:noWrap/>
            <w:vAlign w:val="bottom"/>
            <w:hideMark/>
          </w:tcPr>
          <w:p w14:paraId="2F6F8B73" w14:textId="77777777" w:rsidR="00EE34AA" w:rsidRPr="00811509" w:rsidRDefault="00EE34AA" w:rsidP="00811509">
            <w:pPr>
              <w:spacing w:after="0" w:line="240" w:lineRule="auto"/>
              <w:rPr>
                <w:rFonts w:ascii="Kigelia Light" w:eastAsia="Times New Roman" w:hAnsi="Kigelia Light" w:cs="Kigelia Light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811509">
              <w:rPr>
                <w:rFonts w:ascii="Kigelia Light" w:eastAsia="Times New Roman" w:hAnsi="Kigelia Light" w:cs="Kigelia Light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1046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75BDA7" w:themeFill="accent3"/>
            <w:noWrap/>
            <w:vAlign w:val="bottom"/>
            <w:hideMark/>
          </w:tcPr>
          <w:p w14:paraId="6545955D" w14:textId="77777777" w:rsidR="00EE34AA" w:rsidRPr="00811509" w:rsidRDefault="00EE34AA" w:rsidP="00811509">
            <w:pPr>
              <w:spacing w:after="0" w:line="240" w:lineRule="auto"/>
              <w:rPr>
                <w:rFonts w:ascii="Kigelia Light" w:eastAsia="Times New Roman" w:hAnsi="Kigelia Light" w:cs="Kigelia Light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811509">
              <w:rPr>
                <w:rFonts w:ascii="Kigelia Light" w:eastAsia="Times New Roman" w:hAnsi="Kigelia Light" w:cs="Kigelia Light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75BDA7" w:themeFill="accent3"/>
          </w:tcPr>
          <w:p w14:paraId="0E76C566" w14:textId="77777777" w:rsidR="00EE34AA" w:rsidRPr="00811509" w:rsidRDefault="00EE34AA" w:rsidP="00811509">
            <w:pPr>
              <w:spacing w:after="0" w:line="240" w:lineRule="auto"/>
              <w:rPr>
                <w:rFonts w:ascii="Kigelia Light" w:eastAsia="Times New Roman" w:hAnsi="Kigelia Light" w:cs="Kigelia Light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</w:tr>
      <w:tr w:rsidR="00EE34AA" w:rsidRPr="00811509" w14:paraId="2D52F016" w14:textId="21C83C3F" w:rsidTr="00EE34AA">
        <w:trPr>
          <w:trHeight w:val="732"/>
        </w:trPr>
        <w:tc>
          <w:tcPr>
            <w:tcW w:w="2325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noWrap/>
            <w:vAlign w:val="bottom"/>
            <w:hideMark/>
          </w:tcPr>
          <w:p w14:paraId="7ED105D5" w14:textId="77777777" w:rsidR="00EE34AA" w:rsidRPr="00811509" w:rsidRDefault="00EE34AA" w:rsidP="00811509">
            <w:pPr>
              <w:spacing w:after="0" w:line="240" w:lineRule="auto"/>
              <w:rPr>
                <w:rFonts w:ascii="Kigelia Light" w:eastAsia="Times New Roman" w:hAnsi="Kigelia Light" w:cs="Kigelia Light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811509">
              <w:rPr>
                <w:rFonts w:ascii="Kigelia Light" w:eastAsia="Times New Roman" w:hAnsi="Kigelia Light" w:cs="Kigelia Light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Aug-26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vAlign w:val="bottom"/>
            <w:hideMark/>
          </w:tcPr>
          <w:p w14:paraId="33D9B4B7" w14:textId="293A0F59" w:rsidR="00EE34AA" w:rsidRPr="00811509" w:rsidRDefault="00EE34AA" w:rsidP="00811509">
            <w:pPr>
              <w:spacing w:after="0" w:line="240" w:lineRule="auto"/>
              <w:rPr>
                <w:rFonts w:ascii="Kigelia Light" w:eastAsia="Times New Roman" w:hAnsi="Kigelia Light" w:cs="Kigelia Light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811509">
              <w:rPr>
                <w:rFonts w:ascii="Kigelia Light" w:eastAsia="Times New Roman" w:hAnsi="Kigelia Light" w:cs="Kigelia Light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 xml:space="preserve">Monthly </w:t>
            </w:r>
            <w:r w:rsidR="00AB0BFC">
              <w:rPr>
                <w:rFonts w:ascii="Kigelia Light" w:eastAsia="Times New Roman" w:hAnsi="Kigelia Light" w:cs="Kigelia Light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/</w:t>
            </w:r>
            <w:r w:rsidRPr="00811509">
              <w:rPr>
                <w:rFonts w:ascii="Kigelia Light" w:eastAsia="Times New Roman" w:hAnsi="Kigelia Light" w:cs="Kigelia Light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quarterly % change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vAlign w:val="bottom"/>
            <w:hideMark/>
          </w:tcPr>
          <w:p w14:paraId="41F69F88" w14:textId="0FC63E0A" w:rsidR="00EE34AA" w:rsidRPr="00811509" w:rsidRDefault="00EE34AA" w:rsidP="00811509">
            <w:pPr>
              <w:spacing w:after="0" w:line="240" w:lineRule="auto"/>
              <w:rPr>
                <w:rFonts w:ascii="Kigelia Light" w:eastAsia="Times New Roman" w:hAnsi="Kigelia Light" w:cs="Kigelia Light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811509">
              <w:rPr>
                <w:rFonts w:ascii="Kigelia Light" w:eastAsia="Times New Roman" w:hAnsi="Kigelia Light" w:cs="Kigelia Light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Year</w:t>
            </w:r>
            <w:r>
              <w:rPr>
                <w:rFonts w:ascii="Kigelia Light" w:eastAsia="Times New Roman" w:hAnsi="Kigelia Light" w:cs="Kigelia Light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-</w:t>
            </w:r>
            <w:r w:rsidRPr="00811509">
              <w:rPr>
                <w:rFonts w:ascii="Kigelia Light" w:eastAsia="Times New Roman" w:hAnsi="Kigelia Light" w:cs="Kigelia Light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end % change</w:t>
            </w:r>
          </w:p>
        </w:tc>
        <w:tc>
          <w:tcPr>
            <w:tcW w:w="222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</w:tcPr>
          <w:p w14:paraId="19BC09C4" w14:textId="77777777" w:rsidR="00EE34AA" w:rsidRPr="00811509" w:rsidRDefault="00EE34AA" w:rsidP="00811509">
            <w:pPr>
              <w:spacing w:after="0" w:line="240" w:lineRule="auto"/>
              <w:rPr>
                <w:rFonts w:ascii="Kigelia Light" w:eastAsia="Times New Roman" w:hAnsi="Kigelia Light" w:cs="Kigelia Light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</w:tr>
      <w:tr w:rsidR="00EE34AA" w:rsidRPr="00811509" w14:paraId="70023863" w14:textId="0156CA29" w:rsidTr="00EE34AA">
        <w:trPr>
          <w:trHeight w:val="288"/>
        </w:trPr>
        <w:tc>
          <w:tcPr>
            <w:tcW w:w="2325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noWrap/>
            <w:vAlign w:val="bottom"/>
            <w:hideMark/>
          </w:tcPr>
          <w:p w14:paraId="61D14100" w14:textId="77777777" w:rsidR="00EE34AA" w:rsidRPr="00811509" w:rsidRDefault="00EE34AA" w:rsidP="00811509">
            <w:pPr>
              <w:spacing w:after="0" w:line="240" w:lineRule="auto"/>
              <w:rPr>
                <w:rFonts w:ascii="Kigelia Light" w:eastAsia="Times New Roman" w:hAnsi="Kigelia Light" w:cs="Kigelia Light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811509">
              <w:rPr>
                <w:rFonts w:ascii="Kigelia Light" w:eastAsia="Times New Roman" w:hAnsi="Kigelia Light" w:cs="Kigelia Light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Consumer Price Index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noWrap/>
            <w:vAlign w:val="bottom"/>
            <w:hideMark/>
          </w:tcPr>
          <w:p w14:paraId="33B78201" w14:textId="77777777" w:rsidR="00EE34AA" w:rsidRPr="00811509" w:rsidRDefault="00EE34AA" w:rsidP="00811509">
            <w:pPr>
              <w:spacing w:after="0" w:line="240" w:lineRule="auto"/>
              <w:jc w:val="right"/>
              <w:rPr>
                <w:rFonts w:ascii="Kigelia Light" w:eastAsia="Times New Roman" w:hAnsi="Kigelia Light" w:cs="Kigelia Light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811509">
              <w:rPr>
                <w:rFonts w:ascii="Kigelia Light" w:eastAsia="Times New Roman" w:hAnsi="Kigelia Light" w:cs="Kigelia Light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0.4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noWrap/>
            <w:vAlign w:val="bottom"/>
            <w:hideMark/>
          </w:tcPr>
          <w:p w14:paraId="22033483" w14:textId="77777777" w:rsidR="00EE34AA" w:rsidRPr="00811509" w:rsidRDefault="00EE34AA" w:rsidP="00811509">
            <w:pPr>
              <w:spacing w:after="0" w:line="240" w:lineRule="auto"/>
              <w:jc w:val="right"/>
              <w:rPr>
                <w:rFonts w:ascii="Kigelia Light" w:eastAsia="Times New Roman" w:hAnsi="Kigelia Light" w:cs="Kigelia Light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811509">
              <w:rPr>
                <w:rFonts w:ascii="Kigelia Light" w:eastAsia="Times New Roman" w:hAnsi="Kigelia Light" w:cs="Kigelia Light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4.0</w:t>
            </w:r>
          </w:p>
        </w:tc>
        <w:tc>
          <w:tcPr>
            <w:tcW w:w="222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</w:tcPr>
          <w:p w14:paraId="799627C9" w14:textId="77777777" w:rsidR="00EE34AA" w:rsidRPr="00811509" w:rsidRDefault="00EE34AA" w:rsidP="00811509">
            <w:pPr>
              <w:spacing w:after="0" w:line="240" w:lineRule="auto"/>
              <w:jc w:val="right"/>
              <w:rPr>
                <w:rFonts w:ascii="Kigelia Light" w:eastAsia="Times New Roman" w:hAnsi="Kigelia Light" w:cs="Kigelia Light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</w:tr>
      <w:tr w:rsidR="00EE34AA" w:rsidRPr="00811509" w14:paraId="6C599425" w14:textId="73D09140" w:rsidTr="00EE34AA">
        <w:trPr>
          <w:trHeight w:val="288"/>
        </w:trPr>
        <w:tc>
          <w:tcPr>
            <w:tcW w:w="2325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75BDA7" w:themeFill="accent3"/>
            <w:noWrap/>
            <w:vAlign w:val="bottom"/>
            <w:hideMark/>
          </w:tcPr>
          <w:p w14:paraId="203A3404" w14:textId="77777777" w:rsidR="00EE34AA" w:rsidRPr="00811509" w:rsidRDefault="00EE34AA" w:rsidP="00811509">
            <w:pPr>
              <w:spacing w:after="0" w:line="240" w:lineRule="auto"/>
              <w:rPr>
                <w:rFonts w:ascii="Kigelia Light" w:eastAsia="Times New Roman" w:hAnsi="Kigelia Light" w:cs="Kigelia Light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811509">
              <w:rPr>
                <w:rFonts w:ascii="Kigelia Light" w:eastAsia="Times New Roman" w:hAnsi="Kigelia Light" w:cs="Kigelia Light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Underlying inflation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75BDA7" w:themeFill="accent3"/>
            <w:noWrap/>
            <w:vAlign w:val="bottom"/>
            <w:hideMark/>
          </w:tcPr>
          <w:p w14:paraId="73EA2F47" w14:textId="77777777" w:rsidR="00EE34AA" w:rsidRPr="00811509" w:rsidRDefault="00EE34AA" w:rsidP="00811509">
            <w:pPr>
              <w:spacing w:after="0" w:line="240" w:lineRule="auto"/>
              <w:jc w:val="right"/>
              <w:rPr>
                <w:rFonts w:ascii="Kigelia Light" w:eastAsia="Times New Roman" w:hAnsi="Kigelia Light" w:cs="Kigelia Light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811509">
              <w:rPr>
                <w:rFonts w:ascii="Kigelia Light" w:eastAsia="Times New Roman" w:hAnsi="Kigelia Light" w:cs="Kigelia Light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0.3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75BDA7" w:themeFill="accent3"/>
            <w:noWrap/>
            <w:vAlign w:val="bottom"/>
            <w:hideMark/>
          </w:tcPr>
          <w:p w14:paraId="7A24AEFA" w14:textId="77777777" w:rsidR="00EE34AA" w:rsidRPr="00811509" w:rsidRDefault="00EE34AA" w:rsidP="00811509">
            <w:pPr>
              <w:spacing w:after="0" w:line="240" w:lineRule="auto"/>
              <w:jc w:val="right"/>
              <w:rPr>
                <w:rFonts w:ascii="Kigelia Light" w:eastAsia="Times New Roman" w:hAnsi="Kigelia Light" w:cs="Kigelia Light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811509">
              <w:rPr>
                <w:rFonts w:ascii="Kigelia Light" w:eastAsia="Times New Roman" w:hAnsi="Kigelia Light" w:cs="Kigelia Light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3.6</w:t>
            </w:r>
          </w:p>
        </w:tc>
        <w:tc>
          <w:tcPr>
            <w:tcW w:w="222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75BDA7" w:themeFill="accent3"/>
          </w:tcPr>
          <w:p w14:paraId="23613EE9" w14:textId="77777777" w:rsidR="00EE34AA" w:rsidRPr="00811509" w:rsidRDefault="00EE34AA" w:rsidP="00811509">
            <w:pPr>
              <w:spacing w:after="0" w:line="240" w:lineRule="auto"/>
              <w:jc w:val="right"/>
              <w:rPr>
                <w:rFonts w:ascii="Kigelia Light" w:eastAsia="Times New Roman" w:hAnsi="Kigelia Light" w:cs="Kigelia Light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</w:tr>
      <w:tr w:rsidR="00EE34AA" w:rsidRPr="00811509" w14:paraId="36E3662F" w14:textId="5A616CC0" w:rsidTr="00EE34AA">
        <w:trPr>
          <w:trHeight w:val="492"/>
        </w:trPr>
        <w:tc>
          <w:tcPr>
            <w:tcW w:w="2325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bottom"/>
            <w:hideMark/>
          </w:tcPr>
          <w:p w14:paraId="43953BDD" w14:textId="77777777" w:rsidR="00EE34AA" w:rsidRPr="00811509" w:rsidRDefault="00EE34AA" w:rsidP="00811509">
            <w:pPr>
              <w:spacing w:after="0" w:line="240" w:lineRule="auto"/>
              <w:rPr>
                <w:rFonts w:ascii="Kigelia Light" w:eastAsia="Times New Roman" w:hAnsi="Kigelia Light" w:cs="Kigelia Light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811509">
              <w:rPr>
                <w:rFonts w:ascii="Kigelia Light" w:eastAsia="Times New Roman" w:hAnsi="Kigelia Light" w:cs="Kigelia Light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Underlying inflation - weighted median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noWrap/>
            <w:vAlign w:val="bottom"/>
            <w:hideMark/>
          </w:tcPr>
          <w:p w14:paraId="4F2660D4" w14:textId="77777777" w:rsidR="00EE34AA" w:rsidRPr="00811509" w:rsidRDefault="00EE34AA" w:rsidP="00811509">
            <w:pPr>
              <w:spacing w:after="0" w:line="240" w:lineRule="auto"/>
              <w:jc w:val="right"/>
              <w:rPr>
                <w:rFonts w:ascii="Kigelia Light" w:eastAsia="Times New Roman" w:hAnsi="Kigelia Light" w:cs="Kigelia Light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811509">
              <w:rPr>
                <w:rFonts w:ascii="Kigelia Light" w:eastAsia="Times New Roman" w:hAnsi="Kigelia Light" w:cs="Kigelia Light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0.2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noWrap/>
            <w:vAlign w:val="bottom"/>
            <w:hideMark/>
          </w:tcPr>
          <w:p w14:paraId="0E5D932A" w14:textId="77777777" w:rsidR="00EE34AA" w:rsidRPr="00811509" w:rsidRDefault="00EE34AA" w:rsidP="00811509">
            <w:pPr>
              <w:spacing w:after="0" w:line="240" w:lineRule="auto"/>
              <w:jc w:val="right"/>
              <w:rPr>
                <w:rFonts w:ascii="Kigelia Light" w:eastAsia="Times New Roman" w:hAnsi="Kigelia Light" w:cs="Kigelia Light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811509">
              <w:rPr>
                <w:rFonts w:ascii="Kigelia Light" w:eastAsia="Times New Roman" w:hAnsi="Kigelia Light" w:cs="Kigelia Light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3.6</w:t>
            </w:r>
          </w:p>
        </w:tc>
        <w:tc>
          <w:tcPr>
            <w:tcW w:w="222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</w:tcPr>
          <w:p w14:paraId="6695EC4C" w14:textId="77777777" w:rsidR="00EE34AA" w:rsidRPr="00811509" w:rsidRDefault="00EE34AA" w:rsidP="00811509">
            <w:pPr>
              <w:spacing w:after="0" w:line="240" w:lineRule="auto"/>
              <w:jc w:val="right"/>
              <w:rPr>
                <w:rFonts w:ascii="Kigelia Light" w:eastAsia="Times New Roman" w:hAnsi="Kigelia Light" w:cs="Kigelia Light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</w:tr>
      <w:tr w:rsidR="00EE34AA" w:rsidRPr="00811509" w14:paraId="4B2E0D8C" w14:textId="5B975AC4" w:rsidTr="00EE34AA">
        <w:trPr>
          <w:trHeight w:val="288"/>
        </w:trPr>
        <w:tc>
          <w:tcPr>
            <w:tcW w:w="2325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noWrap/>
            <w:vAlign w:val="bottom"/>
            <w:hideMark/>
          </w:tcPr>
          <w:p w14:paraId="4CD3EE31" w14:textId="77777777" w:rsidR="00EE34AA" w:rsidRPr="00811509" w:rsidRDefault="00EE34AA" w:rsidP="00811509">
            <w:pPr>
              <w:spacing w:after="0" w:line="240" w:lineRule="auto"/>
              <w:rPr>
                <w:rFonts w:ascii="Kigelia Light" w:eastAsia="Times New Roman" w:hAnsi="Kigelia Light" w:cs="Kigelia Light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811509">
              <w:rPr>
                <w:rFonts w:ascii="Kigelia Light" w:eastAsia="Times New Roman" w:hAnsi="Kigelia Light" w:cs="Kigelia Light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CPI seasonally adjusted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noWrap/>
            <w:vAlign w:val="bottom"/>
            <w:hideMark/>
          </w:tcPr>
          <w:p w14:paraId="7965B4D3" w14:textId="77777777" w:rsidR="00EE34AA" w:rsidRPr="00811509" w:rsidRDefault="00EE34AA" w:rsidP="00811509">
            <w:pPr>
              <w:spacing w:after="0" w:line="240" w:lineRule="auto"/>
              <w:jc w:val="right"/>
              <w:rPr>
                <w:rFonts w:ascii="Kigelia Light" w:eastAsia="Times New Roman" w:hAnsi="Kigelia Light" w:cs="Kigelia Light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811509">
              <w:rPr>
                <w:rFonts w:ascii="Kigelia Light" w:eastAsia="Times New Roman" w:hAnsi="Kigelia Light" w:cs="Kigelia Light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0.7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noWrap/>
            <w:vAlign w:val="bottom"/>
            <w:hideMark/>
          </w:tcPr>
          <w:p w14:paraId="4DD6F97D" w14:textId="77777777" w:rsidR="00EE34AA" w:rsidRPr="00811509" w:rsidRDefault="00EE34AA" w:rsidP="00811509">
            <w:pPr>
              <w:spacing w:after="0" w:line="240" w:lineRule="auto"/>
              <w:jc w:val="right"/>
              <w:rPr>
                <w:rFonts w:ascii="Kigelia Light" w:eastAsia="Times New Roman" w:hAnsi="Kigelia Light" w:cs="Kigelia Light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811509">
              <w:rPr>
                <w:rFonts w:ascii="Kigelia Light" w:eastAsia="Times New Roman" w:hAnsi="Kigelia Light" w:cs="Kigelia Light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3.9</w:t>
            </w:r>
          </w:p>
        </w:tc>
        <w:tc>
          <w:tcPr>
            <w:tcW w:w="222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</w:tcPr>
          <w:p w14:paraId="5881F143" w14:textId="77777777" w:rsidR="00EE34AA" w:rsidRPr="00811509" w:rsidRDefault="00EE34AA" w:rsidP="00811509">
            <w:pPr>
              <w:spacing w:after="0" w:line="240" w:lineRule="auto"/>
              <w:jc w:val="right"/>
              <w:rPr>
                <w:rFonts w:ascii="Kigelia Light" w:eastAsia="Times New Roman" w:hAnsi="Kigelia Light" w:cs="Kigelia Light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</w:tr>
      <w:tr w:rsidR="00EE34AA" w:rsidRPr="00811509" w14:paraId="12AF7130" w14:textId="60266BA5" w:rsidTr="00EE34AA">
        <w:trPr>
          <w:trHeight w:val="288"/>
        </w:trPr>
        <w:tc>
          <w:tcPr>
            <w:tcW w:w="2325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noWrap/>
            <w:vAlign w:val="bottom"/>
            <w:hideMark/>
          </w:tcPr>
          <w:p w14:paraId="40CA853B" w14:textId="77777777" w:rsidR="00EE34AA" w:rsidRPr="00811509" w:rsidRDefault="00EE34AA" w:rsidP="00811509">
            <w:pPr>
              <w:spacing w:after="0" w:line="240" w:lineRule="auto"/>
              <w:rPr>
                <w:rFonts w:ascii="Kigelia Light" w:eastAsia="Times New Roman" w:hAnsi="Kigelia Light" w:cs="Kigelia Light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811509">
              <w:rPr>
                <w:rFonts w:ascii="Kigelia Light" w:eastAsia="Times New Roman" w:hAnsi="Kigelia Light" w:cs="Kigelia Light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CPI excluding 'volatile items'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noWrap/>
            <w:vAlign w:val="bottom"/>
            <w:hideMark/>
          </w:tcPr>
          <w:p w14:paraId="34660C50" w14:textId="77777777" w:rsidR="00EE34AA" w:rsidRPr="00811509" w:rsidRDefault="00EE34AA" w:rsidP="00811509">
            <w:pPr>
              <w:spacing w:after="0" w:line="240" w:lineRule="auto"/>
              <w:jc w:val="right"/>
              <w:rPr>
                <w:rFonts w:ascii="Kigelia Light" w:eastAsia="Times New Roman" w:hAnsi="Kigelia Light" w:cs="Kigelia Light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811509">
              <w:rPr>
                <w:rFonts w:ascii="Kigelia Light" w:eastAsia="Times New Roman" w:hAnsi="Kigelia Light" w:cs="Kigelia Light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noWrap/>
            <w:vAlign w:val="bottom"/>
            <w:hideMark/>
          </w:tcPr>
          <w:p w14:paraId="49F337C6" w14:textId="77777777" w:rsidR="00EE34AA" w:rsidRPr="00811509" w:rsidRDefault="00EE34AA" w:rsidP="00811509">
            <w:pPr>
              <w:spacing w:after="0" w:line="240" w:lineRule="auto"/>
              <w:jc w:val="right"/>
              <w:rPr>
                <w:rFonts w:ascii="Kigelia Light" w:eastAsia="Times New Roman" w:hAnsi="Kigelia Light" w:cs="Kigelia Light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811509">
              <w:rPr>
                <w:rFonts w:ascii="Kigelia Light" w:eastAsia="Times New Roman" w:hAnsi="Kigelia Light" w:cs="Kigelia Light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3.7</w:t>
            </w:r>
          </w:p>
        </w:tc>
        <w:tc>
          <w:tcPr>
            <w:tcW w:w="222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</w:tcPr>
          <w:p w14:paraId="3CFC734E" w14:textId="77777777" w:rsidR="00EE34AA" w:rsidRPr="00811509" w:rsidRDefault="00EE34AA" w:rsidP="00811509">
            <w:pPr>
              <w:spacing w:after="0" w:line="240" w:lineRule="auto"/>
              <w:jc w:val="right"/>
              <w:rPr>
                <w:rFonts w:ascii="Kigelia Light" w:eastAsia="Times New Roman" w:hAnsi="Kigelia Light" w:cs="Kigelia Light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</w:tr>
      <w:tr w:rsidR="00EE34AA" w:rsidRPr="00811509" w14:paraId="7EB2039A" w14:textId="3B7F0A46" w:rsidTr="00EE34AA">
        <w:trPr>
          <w:trHeight w:val="288"/>
        </w:trPr>
        <w:tc>
          <w:tcPr>
            <w:tcW w:w="4403" w:type="dxa"/>
            <w:gridSpan w:val="3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75BDA7" w:themeFill="accent3"/>
            <w:noWrap/>
            <w:vAlign w:val="bottom"/>
            <w:hideMark/>
          </w:tcPr>
          <w:p w14:paraId="06301C15" w14:textId="0688547A" w:rsidR="00EE34AA" w:rsidRPr="00811509" w:rsidRDefault="00EE34AA" w:rsidP="00811509">
            <w:pPr>
              <w:spacing w:after="0" w:line="240" w:lineRule="auto"/>
              <w:rPr>
                <w:rFonts w:ascii="Kigelia Light" w:eastAsia="Times New Roman" w:hAnsi="Kigelia Light" w:cs="Kigelia Light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811509">
              <w:rPr>
                <w:rFonts w:ascii="Kigelia Light" w:eastAsia="Times New Roman" w:hAnsi="Kigelia Light" w:cs="Kigelia Light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 xml:space="preserve">Quarterly measures of inflation </w:t>
            </w:r>
          </w:p>
        </w:tc>
        <w:tc>
          <w:tcPr>
            <w:tcW w:w="222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75BDA7" w:themeFill="accent3"/>
          </w:tcPr>
          <w:p w14:paraId="13B9FCCB" w14:textId="77777777" w:rsidR="00EE34AA" w:rsidRPr="00811509" w:rsidRDefault="00EE34AA" w:rsidP="00811509">
            <w:pPr>
              <w:spacing w:after="0" w:line="240" w:lineRule="auto"/>
              <w:rPr>
                <w:rFonts w:ascii="Kigelia Light" w:eastAsia="Times New Roman" w:hAnsi="Kigelia Light" w:cs="Kigelia Light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</w:tr>
      <w:tr w:rsidR="00EE34AA" w:rsidRPr="00811509" w14:paraId="4094574B" w14:textId="4E6EBB7A" w:rsidTr="00EE34AA">
        <w:trPr>
          <w:trHeight w:val="288"/>
        </w:trPr>
        <w:tc>
          <w:tcPr>
            <w:tcW w:w="2325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noWrap/>
            <w:vAlign w:val="bottom"/>
            <w:hideMark/>
          </w:tcPr>
          <w:p w14:paraId="0E413112" w14:textId="77777777" w:rsidR="00EE34AA" w:rsidRPr="00811509" w:rsidRDefault="00EE34AA" w:rsidP="00811509">
            <w:pPr>
              <w:spacing w:after="0" w:line="240" w:lineRule="auto"/>
              <w:rPr>
                <w:rFonts w:ascii="Kigelia Light" w:eastAsia="Times New Roman" w:hAnsi="Kigelia Light" w:cs="Kigelia Light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811509">
              <w:rPr>
                <w:rFonts w:ascii="Kigelia Light" w:eastAsia="Times New Roman" w:hAnsi="Kigelia Light" w:cs="Kigelia Light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Jun-26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noWrap/>
            <w:vAlign w:val="bottom"/>
            <w:hideMark/>
          </w:tcPr>
          <w:p w14:paraId="76043868" w14:textId="77777777" w:rsidR="00EE34AA" w:rsidRPr="00811509" w:rsidRDefault="00EE34AA" w:rsidP="00811509">
            <w:pPr>
              <w:spacing w:after="0" w:line="240" w:lineRule="auto"/>
              <w:rPr>
                <w:rFonts w:ascii="Kigelia Light" w:eastAsia="Times New Roman" w:hAnsi="Kigelia Light" w:cs="Kigelia Light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811509">
              <w:rPr>
                <w:rFonts w:ascii="Kigelia Light" w:eastAsia="Times New Roman" w:hAnsi="Kigelia Light" w:cs="Kigelia Light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noWrap/>
            <w:vAlign w:val="bottom"/>
            <w:hideMark/>
          </w:tcPr>
          <w:p w14:paraId="1AF4E8D1" w14:textId="77777777" w:rsidR="00EE34AA" w:rsidRPr="00811509" w:rsidRDefault="00EE34AA" w:rsidP="00811509">
            <w:pPr>
              <w:spacing w:after="0" w:line="240" w:lineRule="auto"/>
              <w:rPr>
                <w:rFonts w:ascii="Kigelia Light" w:eastAsia="Times New Roman" w:hAnsi="Kigelia Light" w:cs="Kigelia Light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811509">
              <w:rPr>
                <w:rFonts w:ascii="Kigelia Light" w:eastAsia="Times New Roman" w:hAnsi="Kigelia Light" w:cs="Kigelia Light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</w:tcPr>
          <w:p w14:paraId="091B1D60" w14:textId="77777777" w:rsidR="00EE34AA" w:rsidRPr="00811509" w:rsidRDefault="00EE34AA" w:rsidP="00811509">
            <w:pPr>
              <w:spacing w:after="0" w:line="240" w:lineRule="auto"/>
              <w:rPr>
                <w:rFonts w:ascii="Kigelia Light" w:eastAsia="Times New Roman" w:hAnsi="Kigelia Light" w:cs="Kigelia Light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</w:tr>
      <w:tr w:rsidR="00EE34AA" w:rsidRPr="00811509" w14:paraId="77DAFD7E" w14:textId="537EAA73" w:rsidTr="00EE34AA">
        <w:trPr>
          <w:trHeight w:val="288"/>
        </w:trPr>
        <w:tc>
          <w:tcPr>
            <w:tcW w:w="2325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noWrap/>
            <w:vAlign w:val="bottom"/>
            <w:hideMark/>
          </w:tcPr>
          <w:p w14:paraId="15E5A906" w14:textId="77777777" w:rsidR="00EE34AA" w:rsidRPr="00811509" w:rsidRDefault="00EE34AA" w:rsidP="00811509">
            <w:pPr>
              <w:spacing w:after="0" w:line="240" w:lineRule="auto"/>
              <w:rPr>
                <w:rFonts w:ascii="Kigelia Light" w:eastAsia="Times New Roman" w:hAnsi="Kigelia Light" w:cs="Kigelia Light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811509">
              <w:rPr>
                <w:rFonts w:ascii="Kigelia Light" w:eastAsia="Times New Roman" w:hAnsi="Kigelia Light" w:cs="Kigelia Light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CPI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noWrap/>
            <w:vAlign w:val="bottom"/>
            <w:hideMark/>
          </w:tcPr>
          <w:p w14:paraId="2691F750" w14:textId="77777777" w:rsidR="00EE34AA" w:rsidRPr="00811509" w:rsidRDefault="00EE34AA" w:rsidP="00811509">
            <w:pPr>
              <w:spacing w:after="0" w:line="240" w:lineRule="auto"/>
              <w:jc w:val="right"/>
              <w:rPr>
                <w:rFonts w:ascii="Kigelia Light" w:eastAsia="Times New Roman" w:hAnsi="Kigelia Light" w:cs="Kigelia Light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811509">
              <w:rPr>
                <w:rFonts w:ascii="Kigelia Light" w:eastAsia="Times New Roman" w:hAnsi="Kigelia Light" w:cs="Kigelia Light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0.6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noWrap/>
            <w:vAlign w:val="bottom"/>
            <w:hideMark/>
          </w:tcPr>
          <w:p w14:paraId="48C99160" w14:textId="77777777" w:rsidR="00EE34AA" w:rsidRPr="00811509" w:rsidRDefault="00EE34AA" w:rsidP="00811509">
            <w:pPr>
              <w:spacing w:after="0" w:line="240" w:lineRule="auto"/>
              <w:jc w:val="right"/>
              <w:rPr>
                <w:rFonts w:ascii="Kigelia Light" w:eastAsia="Times New Roman" w:hAnsi="Kigelia Light" w:cs="Kigelia Light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811509">
              <w:rPr>
                <w:rFonts w:ascii="Kigelia Light" w:eastAsia="Times New Roman" w:hAnsi="Kigelia Light" w:cs="Kigelia Light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3.6</w:t>
            </w:r>
          </w:p>
        </w:tc>
        <w:tc>
          <w:tcPr>
            <w:tcW w:w="222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</w:tcPr>
          <w:p w14:paraId="3D5DF151" w14:textId="77777777" w:rsidR="00EE34AA" w:rsidRPr="00811509" w:rsidRDefault="00EE34AA" w:rsidP="00811509">
            <w:pPr>
              <w:spacing w:after="0" w:line="240" w:lineRule="auto"/>
              <w:jc w:val="right"/>
              <w:rPr>
                <w:rFonts w:ascii="Kigelia Light" w:eastAsia="Times New Roman" w:hAnsi="Kigelia Light" w:cs="Kigelia Light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</w:tr>
      <w:tr w:rsidR="00EE34AA" w:rsidRPr="00811509" w14:paraId="7AE0AB4B" w14:textId="63EF573C" w:rsidTr="00EE34AA">
        <w:trPr>
          <w:trHeight w:val="288"/>
        </w:trPr>
        <w:tc>
          <w:tcPr>
            <w:tcW w:w="2325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noWrap/>
            <w:vAlign w:val="bottom"/>
            <w:hideMark/>
          </w:tcPr>
          <w:p w14:paraId="273BC103" w14:textId="77777777" w:rsidR="00EE34AA" w:rsidRPr="00811509" w:rsidRDefault="00EE34AA" w:rsidP="00811509">
            <w:pPr>
              <w:spacing w:after="0" w:line="240" w:lineRule="auto"/>
              <w:rPr>
                <w:rFonts w:ascii="Kigelia Light" w:eastAsia="Times New Roman" w:hAnsi="Kigelia Light" w:cs="Kigelia Light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811509">
              <w:rPr>
                <w:rFonts w:ascii="Kigelia Light" w:eastAsia="Times New Roman" w:hAnsi="Kigelia Light" w:cs="Kigelia Light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Prices of consumer purchases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noWrap/>
            <w:vAlign w:val="bottom"/>
            <w:hideMark/>
          </w:tcPr>
          <w:p w14:paraId="3A685BD8" w14:textId="77777777" w:rsidR="00EE34AA" w:rsidRPr="00811509" w:rsidRDefault="00EE34AA" w:rsidP="00811509">
            <w:pPr>
              <w:spacing w:after="0" w:line="240" w:lineRule="auto"/>
              <w:jc w:val="right"/>
              <w:rPr>
                <w:rFonts w:ascii="Kigelia Light" w:eastAsia="Times New Roman" w:hAnsi="Kigelia Light" w:cs="Kigelia Light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811509">
              <w:rPr>
                <w:rFonts w:ascii="Kigelia Light" w:eastAsia="Times New Roman" w:hAnsi="Kigelia Light" w:cs="Kigelia Light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0.6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noWrap/>
            <w:vAlign w:val="bottom"/>
            <w:hideMark/>
          </w:tcPr>
          <w:p w14:paraId="50983972" w14:textId="77777777" w:rsidR="00EE34AA" w:rsidRPr="00811509" w:rsidRDefault="00EE34AA" w:rsidP="00811509">
            <w:pPr>
              <w:spacing w:after="0" w:line="240" w:lineRule="auto"/>
              <w:jc w:val="right"/>
              <w:rPr>
                <w:rFonts w:ascii="Kigelia Light" w:eastAsia="Times New Roman" w:hAnsi="Kigelia Light" w:cs="Kigelia Light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811509">
              <w:rPr>
                <w:rFonts w:ascii="Kigelia Light" w:eastAsia="Times New Roman" w:hAnsi="Kigelia Light" w:cs="Kigelia Light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3.1</w:t>
            </w:r>
          </w:p>
        </w:tc>
        <w:tc>
          <w:tcPr>
            <w:tcW w:w="222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</w:tcPr>
          <w:p w14:paraId="6FF27841" w14:textId="77777777" w:rsidR="00EE34AA" w:rsidRPr="00811509" w:rsidRDefault="00EE34AA" w:rsidP="00811509">
            <w:pPr>
              <w:spacing w:after="0" w:line="240" w:lineRule="auto"/>
              <w:jc w:val="right"/>
              <w:rPr>
                <w:rFonts w:ascii="Kigelia Light" w:eastAsia="Times New Roman" w:hAnsi="Kigelia Light" w:cs="Kigelia Light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</w:tr>
      <w:tr w:rsidR="00EE34AA" w:rsidRPr="00811509" w14:paraId="037FA39B" w14:textId="459E4C6D" w:rsidTr="00EE34AA">
        <w:trPr>
          <w:trHeight w:val="288"/>
        </w:trPr>
        <w:tc>
          <w:tcPr>
            <w:tcW w:w="2325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noWrap/>
            <w:vAlign w:val="bottom"/>
            <w:hideMark/>
          </w:tcPr>
          <w:p w14:paraId="18185722" w14:textId="77777777" w:rsidR="00EE34AA" w:rsidRPr="00811509" w:rsidRDefault="00EE34AA" w:rsidP="00811509">
            <w:pPr>
              <w:spacing w:after="0" w:line="240" w:lineRule="auto"/>
              <w:rPr>
                <w:rFonts w:ascii="Kigelia Light" w:eastAsia="Times New Roman" w:hAnsi="Kigelia Light" w:cs="Kigelia Light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811509">
              <w:rPr>
                <w:rFonts w:ascii="Kigelia Light" w:eastAsia="Times New Roman" w:hAnsi="Kigelia Light" w:cs="Kigelia Light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noWrap/>
            <w:vAlign w:val="bottom"/>
            <w:hideMark/>
          </w:tcPr>
          <w:p w14:paraId="78D362A1" w14:textId="77777777" w:rsidR="00EE34AA" w:rsidRPr="00811509" w:rsidRDefault="00EE34AA" w:rsidP="00811509">
            <w:pPr>
              <w:spacing w:after="0" w:line="240" w:lineRule="auto"/>
              <w:rPr>
                <w:rFonts w:ascii="Kigelia Light" w:eastAsia="Times New Roman" w:hAnsi="Kigelia Light" w:cs="Kigelia Light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811509">
              <w:rPr>
                <w:rFonts w:ascii="Kigelia Light" w:eastAsia="Times New Roman" w:hAnsi="Kigelia Light" w:cs="Kigelia Light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noWrap/>
            <w:vAlign w:val="bottom"/>
            <w:hideMark/>
          </w:tcPr>
          <w:p w14:paraId="607BABEE" w14:textId="77777777" w:rsidR="00EE34AA" w:rsidRPr="00811509" w:rsidRDefault="00EE34AA" w:rsidP="00811509">
            <w:pPr>
              <w:spacing w:after="0" w:line="240" w:lineRule="auto"/>
              <w:rPr>
                <w:rFonts w:ascii="Kigelia Light" w:eastAsia="Times New Roman" w:hAnsi="Kigelia Light" w:cs="Kigelia Light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811509">
              <w:rPr>
                <w:rFonts w:ascii="Kigelia Light" w:eastAsia="Times New Roman" w:hAnsi="Kigelia Light" w:cs="Kigelia Light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</w:tcPr>
          <w:p w14:paraId="64E6C1B2" w14:textId="77777777" w:rsidR="00EE34AA" w:rsidRPr="00811509" w:rsidRDefault="00EE34AA" w:rsidP="00811509">
            <w:pPr>
              <w:spacing w:after="0" w:line="240" w:lineRule="auto"/>
              <w:rPr>
                <w:rFonts w:ascii="Kigelia Light" w:eastAsia="Times New Roman" w:hAnsi="Kigelia Light" w:cs="Kigelia Light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</w:tr>
      <w:tr w:rsidR="00EE34AA" w:rsidRPr="00811509" w14:paraId="38DFF90A" w14:textId="5E2DFA6D" w:rsidTr="00EE34AA">
        <w:trPr>
          <w:trHeight w:val="492"/>
        </w:trPr>
        <w:tc>
          <w:tcPr>
            <w:tcW w:w="2325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bottom"/>
            <w:hideMark/>
          </w:tcPr>
          <w:p w14:paraId="52B41220" w14:textId="77777777" w:rsidR="00EE34AA" w:rsidRPr="00811509" w:rsidRDefault="00EE34AA" w:rsidP="00811509">
            <w:pPr>
              <w:spacing w:after="0" w:line="240" w:lineRule="auto"/>
              <w:rPr>
                <w:rFonts w:ascii="Kigelia Light" w:eastAsia="Times New Roman" w:hAnsi="Kigelia Light" w:cs="Kigelia Light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811509">
              <w:rPr>
                <w:rFonts w:ascii="Kigelia Light" w:eastAsia="Times New Roman" w:hAnsi="Kigelia Light" w:cs="Kigelia Light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Reserve Bank of Australia target - midpoint of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noWrap/>
            <w:vAlign w:val="bottom"/>
            <w:hideMark/>
          </w:tcPr>
          <w:p w14:paraId="612844E4" w14:textId="77777777" w:rsidR="00EE34AA" w:rsidRPr="00811509" w:rsidRDefault="00EE34AA" w:rsidP="00811509">
            <w:pPr>
              <w:spacing w:after="0" w:line="240" w:lineRule="auto"/>
              <w:rPr>
                <w:rFonts w:ascii="Kigelia Light" w:eastAsia="Times New Roman" w:hAnsi="Kigelia Light" w:cs="Kigelia Light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811509">
              <w:rPr>
                <w:rFonts w:ascii="Kigelia Light" w:eastAsia="Times New Roman" w:hAnsi="Kigelia Light" w:cs="Kigelia Light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noWrap/>
            <w:vAlign w:val="bottom"/>
            <w:hideMark/>
          </w:tcPr>
          <w:p w14:paraId="60E7D4EA" w14:textId="77777777" w:rsidR="00EE34AA" w:rsidRPr="00811509" w:rsidRDefault="00EE34AA" w:rsidP="00811509">
            <w:pPr>
              <w:spacing w:after="0" w:line="240" w:lineRule="auto"/>
              <w:jc w:val="right"/>
              <w:rPr>
                <w:rFonts w:ascii="Kigelia Light" w:eastAsia="Times New Roman" w:hAnsi="Kigelia Light" w:cs="Kigelia Light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811509">
              <w:rPr>
                <w:rFonts w:ascii="Kigelia Light" w:eastAsia="Times New Roman" w:hAnsi="Kigelia Light" w:cs="Kigelia Light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 to 3</w:t>
            </w:r>
          </w:p>
        </w:tc>
        <w:tc>
          <w:tcPr>
            <w:tcW w:w="222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</w:tcPr>
          <w:p w14:paraId="24ED1751" w14:textId="77777777" w:rsidR="00EE34AA" w:rsidRPr="00811509" w:rsidRDefault="00EE34AA" w:rsidP="00811509">
            <w:pPr>
              <w:spacing w:after="0" w:line="240" w:lineRule="auto"/>
              <w:jc w:val="right"/>
              <w:rPr>
                <w:rFonts w:ascii="Kigelia Light" w:eastAsia="Times New Roman" w:hAnsi="Kigelia Light" w:cs="Kigelia Light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</w:tr>
    </w:tbl>
    <w:p w14:paraId="236432E8" w14:textId="77777777" w:rsidR="009F09FD" w:rsidRDefault="009F09FD" w:rsidP="00AB0BFC">
      <w:pPr>
        <w:spacing w:after="0" w:line="240" w:lineRule="auto"/>
        <w:rPr>
          <w:rFonts w:ascii="Kigelia Light" w:hAnsi="Kigelia Light" w:cs="Kigelia Light"/>
          <w:color w:val="0D0D0D" w:themeColor="text1" w:themeTint="F2"/>
          <w:sz w:val="20"/>
          <w:szCs w:val="20"/>
        </w:rPr>
      </w:pPr>
    </w:p>
    <w:p w14:paraId="407EBC0F" w14:textId="295FD8EC" w:rsidR="009F09FD" w:rsidRDefault="009F09FD" w:rsidP="009F09FD">
      <w:pPr>
        <w:spacing w:after="0" w:line="360" w:lineRule="atLeast"/>
        <w:rPr>
          <w:rFonts w:ascii="Kigelia Light" w:hAnsi="Kigelia Light" w:cs="Kigelia Light"/>
          <w:color w:val="0D0D0D" w:themeColor="text1" w:themeTint="F2"/>
          <w:sz w:val="20"/>
          <w:szCs w:val="20"/>
        </w:rPr>
      </w:pPr>
      <w:r>
        <w:rPr>
          <w:rFonts w:ascii="Kigelia Light" w:hAnsi="Kigelia Light" w:cs="Kigelia Light"/>
          <w:color w:val="0D0D0D" w:themeColor="text1" w:themeTint="F2"/>
          <w:sz w:val="20"/>
          <w:szCs w:val="20"/>
        </w:rPr>
        <w:t xml:space="preserve">Wage rises moderate to 3.2 per cent over twelve months. Business, home and personal loan rates are increasing 25 basis points soon. </w:t>
      </w:r>
    </w:p>
    <w:p w14:paraId="7636A8B5" w14:textId="77777777" w:rsidR="00F47831" w:rsidRPr="00433745" w:rsidRDefault="00F47831" w:rsidP="002A0A5B">
      <w:pPr>
        <w:spacing w:after="0" w:line="360" w:lineRule="auto"/>
        <w:ind w:left="567"/>
        <w:rPr>
          <w:rFonts w:ascii="Kigelia Light" w:hAnsi="Kigelia Light" w:cs="Kigelia Light"/>
          <w:color w:val="0D0D0D" w:themeColor="text1" w:themeTint="F2"/>
          <w:sz w:val="18"/>
          <w:szCs w:val="18"/>
        </w:rPr>
      </w:pPr>
    </w:p>
    <w:p w14:paraId="2AD65D4E" w14:textId="4385065D" w:rsidR="008312FE" w:rsidRDefault="00367953" w:rsidP="003B17C6">
      <w:pPr>
        <w:spacing w:after="0" w:line="360" w:lineRule="auto"/>
        <w:rPr>
          <w:rFonts w:ascii="Kigelia Light" w:hAnsi="Kigelia Light" w:cs="Kigelia Light"/>
          <w:color w:val="0D0D0D" w:themeColor="text1" w:themeTint="F2"/>
          <w:sz w:val="20"/>
          <w:szCs w:val="20"/>
        </w:rPr>
      </w:pPr>
      <w:r>
        <w:rPr>
          <w:noProof/>
        </w:rPr>
        <w:drawing>
          <wp:inline distT="0" distB="0" distL="0" distR="0" wp14:anchorId="6151FE37" wp14:editId="32970EC2">
            <wp:extent cx="2887345" cy="3701849"/>
            <wp:effectExtent l="0" t="0" r="8255" b="13335"/>
            <wp:docPr id="569185555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9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2AE209A2" w14:textId="48A7F2A1" w:rsidR="009A5B4A" w:rsidRPr="00F33E9C" w:rsidRDefault="009A5B4A" w:rsidP="009A5B4A">
      <w:pPr>
        <w:spacing w:after="0" w:line="360" w:lineRule="atLeast"/>
        <w:rPr>
          <w:rFonts w:ascii="Kigelia Light" w:hAnsi="Kigelia Light" w:cs="Kigelia Light"/>
          <w:i/>
          <w:iCs/>
          <w:color w:val="75BDA7" w:themeColor="accent3"/>
          <w:sz w:val="18"/>
          <w:szCs w:val="18"/>
        </w:rPr>
      </w:pPr>
      <w:r w:rsidRPr="00F33E9C">
        <w:rPr>
          <w:rFonts w:ascii="Kigelia Light" w:hAnsi="Kigelia Light" w:cs="Kigelia Light"/>
          <w:i/>
          <w:iCs/>
          <w:sz w:val="18"/>
          <w:szCs w:val="18"/>
        </w:rPr>
        <w:t xml:space="preserve">For more information, </w:t>
      </w:r>
      <w:r>
        <w:rPr>
          <w:rFonts w:ascii="Kigelia Light" w:hAnsi="Kigelia Light" w:cs="Kigelia Light"/>
          <w:i/>
          <w:iCs/>
          <w:sz w:val="18"/>
          <w:szCs w:val="18"/>
        </w:rPr>
        <w:t>speak to us</w:t>
      </w:r>
    </w:p>
    <w:p w14:paraId="3C985009" w14:textId="77777777" w:rsidR="009A5B4A" w:rsidRPr="008C5133" w:rsidRDefault="009A5B4A" w:rsidP="009A5B4A">
      <w:pPr>
        <w:spacing w:after="0" w:line="360" w:lineRule="atLeast"/>
        <w:rPr>
          <w:rFonts w:ascii="Kigelia Light" w:hAnsi="Kigelia Light" w:cs="Kigelia Light"/>
          <w:color w:val="0D0D0D" w:themeColor="text1" w:themeTint="F2"/>
          <w:sz w:val="18"/>
          <w:szCs w:val="18"/>
        </w:rPr>
      </w:pPr>
      <w:r w:rsidRPr="008C5133">
        <w:rPr>
          <w:rFonts w:ascii="Kigelia Light" w:hAnsi="Kigelia Light" w:cs="Kigelia Light"/>
          <w:color w:val="0D0D0D" w:themeColor="text1" w:themeTint="F2"/>
          <w:sz w:val="18"/>
          <w:szCs w:val="18"/>
        </w:rPr>
        <w:t xml:space="preserve">Email </w:t>
      </w:r>
      <w:hyperlink r:id="rId8" w:history="1">
        <w:r w:rsidRPr="008C5133">
          <w:rPr>
            <w:rStyle w:val="Hyperlink"/>
            <w:rFonts w:ascii="Kigelia Light" w:hAnsi="Kigelia Light" w:cs="Kigelia Light"/>
            <w:sz w:val="18"/>
            <w:szCs w:val="18"/>
          </w:rPr>
          <w:t>info@instantindicators.net.au</w:t>
        </w:r>
      </w:hyperlink>
    </w:p>
    <w:p w14:paraId="3A434E59" w14:textId="77777777" w:rsidR="009A5B4A" w:rsidRPr="008C5133" w:rsidRDefault="009A5B4A" w:rsidP="009A5B4A">
      <w:pPr>
        <w:spacing w:after="0" w:line="360" w:lineRule="atLeast"/>
        <w:rPr>
          <w:rFonts w:ascii="Kigelia Light" w:hAnsi="Kigelia Light" w:cs="Kigelia Light"/>
          <w:color w:val="0D0D0D" w:themeColor="text1" w:themeTint="F2"/>
          <w:sz w:val="18"/>
          <w:szCs w:val="18"/>
        </w:rPr>
      </w:pPr>
      <w:r w:rsidRPr="008C5133">
        <w:rPr>
          <w:rFonts w:ascii="Kigelia Light" w:hAnsi="Kigelia Light" w:cs="Kigelia Light"/>
          <w:color w:val="0D0D0D" w:themeColor="text1" w:themeTint="F2"/>
          <w:sz w:val="18"/>
          <w:szCs w:val="18"/>
        </w:rPr>
        <w:t xml:space="preserve">W/site </w:t>
      </w:r>
      <w:hyperlink r:id="rId9" w:history="1">
        <w:r w:rsidRPr="00FD4C70">
          <w:rPr>
            <w:rStyle w:val="Hyperlink"/>
            <w:rFonts w:ascii="Kigelia Light" w:hAnsi="Kigelia Light" w:cs="Kigelia Light"/>
            <w:sz w:val="18"/>
            <w:szCs w:val="18"/>
          </w:rPr>
          <w:t>www.instantindicators.net.au</w:t>
        </w:r>
      </w:hyperlink>
      <w:r>
        <w:rPr>
          <w:rFonts w:ascii="Kigelia Light" w:hAnsi="Kigelia Light" w:cs="Kigelia Light"/>
          <w:color w:val="0D0D0D" w:themeColor="text1" w:themeTint="F2"/>
          <w:sz w:val="18"/>
          <w:szCs w:val="18"/>
        </w:rPr>
        <w:t xml:space="preserve"> </w:t>
      </w:r>
    </w:p>
    <w:p w14:paraId="43218772" w14:textId="77777777" w:rsidR="009A5B4A" w:rsidRDefault="009A5B4A" w:rsidP="009A5B4A">
      <w:pPr>
        <w:spacing w:after="0" w:line="360" w:lineRule="atLeast"/>
        <w:rPr>
          <w:rFonts w:ascii="Kigelia Light" w:hAnsi="Kigelia Light" w:cs="Kigelia Light"/>
          <w:color w:val="0D0D0D" w:themeColor="text1" w:themeTint="F2"/>
          <w:sz w:val="18"/>
          <w:szCs w:val="18"/>
        </w:rPr>
      </w:pPr>
      <w:r w:rsidRPr="008C5133">
        <w:rPr>
          <w:rFonts w:ascii="Kigelia Light" w:hAnsi="Kigelia Light" w:cs="Kigelia Light"/>
          <w:color w:val="0D0D0D" w:themeColor="text1" w:themeTint="F2"/>
          <w:sz w:val="18"/>
          <w:szCs w:val="18"/>
        </w:rPr>
        <w:t>PO Box 1354 North Sydney 2059</w:t>
      </w:r>
    </w:p>
    <w:p w14:paraId="41E1EE0A" w14:textId="77777777" w:rsidR="00C3365B" w:rsidRDefault="00C3365B" w:rsidP="00C3365B">
      <w:pPr>
        <w:spacing w:after="0" w:line="360" w:lineRule="auto"/>
        <w:rPr>
          <w:rFonts w:ascii="Kigelia Light" w:hAnsi="Kigelia Light" w:cs="Kigelia Light"/>
          <w:color w:val="0D0D0D" w:themeColor="text1" w:themeTint="F2"/>
          <w:sz w:val="18"/>
          <w:szCs w:val="18"/>
        </w:rPr>
      </w:pPr>
    </w:p>
    <w:p w14:paraId="5A0745CA" w14:textId="40858181" w:rsidR="006448DE" w:rsidRDefault="00C3365B" w:rsidP="009D47D4">
      <w:pPr>
        <w:spacing w:after="0" w:line="360" w:lineRule="auto"/>
        <w:rPr>
          <w:rFonts w:ascii="Kigelia Light" w:hAnsi="Kigelia Light" w:cs="Kigelia Light"/>
          <w:i/>
          <w:iCs/>
          <w:color w:val="58B6C0" w:themeColor="accent2"/>
          <w:sz w:val="24"/>
          <w:szCs w:val="24"/>
        </w:rPr>
      </w:pPr>
      <w:r>
        <w:rPr>
          <w:rFonts w:ascii="Kigelia Light" w:hAnsi="Kigelia Light" w:cs="Kigelia Light"/>
          <w:color w:val="0D0D0D" w:themeColor="text1" w:themeTint="F2"/>
          <w:sz w:val="18"/>
          <w:szCs w:val="18"/>
        </w:rPr>
        <w:t xml:space="preserve"> </w:t>
      </w:r>
      <w:r w:rsidR="00C7119A" w:rsidRPr="0043244B">
        <w:rPr>
          <w:rFonts w:ascii="Kigelia Light" w:hAnsi="Kigelia Light" w:cs="Kigelia Light"/>
          <w:color w:val="0D0D0D" w:themeColor="text1" w:themeTint="F2"/>
          <w:sz w:val="18"/>
          <w:szCs w:val="18"/>
        </w:rPr>
        <w:t>Copyright ©2025 instant indicat</w:t>
      </w:r>
      <w:r w:rsidR="00D349B5">
        <w:rPr>
          <w:rFonts w:ascii="Kigelia Light" w:hAnsi="Kigelia Light" w:cs="Kigelia Light"/>
          <w:color w:val="0D0D0D" w:themeColor="text1" w:themeTint="F2"/>
          <w:sz w:val="18"/>
          <w:szCs w:val="18"/>
        </w:rPr>
        <w:t>ors</w:t>
      </w:r>
    </w:p>
    <w:sectPr w:rsidR="006448DE" w:rsidSect="00EE34AA">
      <w:type w:val="continuous"/>
      <w:pgSz w:w="11906" w:h="16838" w:code="9"/>
      <w:pgMar w:top="1134" w:right="964" w:bottom="454" w:left="964" w:header="709" w:footer="709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Kigelia Light">
    <w:charset w:val="00"/>
    <w:family w:val="swiss"/>
    <w:pitch w:val="variable"/>
    <w:sig w:usb0="E01526FF" w:usb1="C200004B" w:usb2="000108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EA14BB"/>
    <w:multiLevelType w:val="hybridMultilevel"/>
    <w:tmpl w:val="8A7C2934"/>
    <w:lvl w:ilvl="0" w:tplc="0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82628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2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322E"/>
    <w:rsid w:val="000019D8"/>
    <w:rsid w:val="00011CAD"/>
    <w:rsid w:val="00012AB8"/>
    <w:rsid w:val="00015011"/>
    <w:rsid w:val="00021AAB"/>
    <w:rsid w:val="000223B5"/>
    <w:rsid w:val="000243C8"/>
    <w:rsid w:val="00026D93"/>
    <w:rsid w:val="0004404C"/>
    <w:rsid w:val="000501CF"/>
    <w:rsid w:val="0005210F"/>
    <w:rsid w:val="000524C0"/>
    <w:rsid w:val="00052CDA"/>
    <w:rsid w:val="00056D75"/>
    <w:rsid w:val="00057861"/>
    <w:rsid w:val="00060FA2"/>
    <w:rsid w:val="0006231B"/>
    <w:rsid w:val="00062F0A"/>
    <w:rsid w:val="00067F2E"/>
    <w:rsid w:val="00080280"/>
    <w:rsid w:val="00085D01"/>
    <w:rsid w:val="00086C54"/>
    <w:rsid w:val="000911EF"/>
    <w:rsid w:val="000A6A5C"/>
    <w:rsid w:val="000C4AF0"/>
    <w:rsid w:val="000D32E9"/>
    <w:rsid w:val="000D54E2"/>
    <w:rsid w:val="000E0646"/>
    <w:rsid w:val="000E1D77"/>
    <w:rsid w:val="000E4672"/>
    <w:rsid w:val="000E6FA3"/>
    <w:rsid w:val="000F405F"/>
    <w:rsid w:val="000F4FB3"/>
    <w:rsid w:val="000F592E"/>
    <w:rsid w:val="000F6B32"/>
    <w:rsid w:val="000F6D9A"/>
    <w:rsid w:val="001005BE"/>
    <w:rsid w:val="001029EE"/>
    <w:rsid w:val="001053EC"/>
    <w:rsid w:val="00107C1C"/>
    <w:rsid w:val="0011073E"/>
    <w:rsid w:val="00112A45"/>
    <w:rsid w:val="00113955"/>
    <w:rsid w:val="001167E9"/>
    <w:rsid w:val="00117FEB"/>
    <w:rsid w:val="00121489"/>
    <w:rsid w:val="001315C9"/>
    <w:rsid w:val="001336B5"/>
    <w:rsid w:val="00137694"/>
    <w:rsid w:val="00143EB0"/>
    <w:rsid w:val="00144439"/>
    <w:rsid w:val="00152EBF"/>
    <w:rsid w:val="00153509"/>
    <w:rsid w:val="00153EF2"/>
    <w:rsid w:val="00157D73"/>
    <w:rsid w:val="00162F62"/>
    <w:rsid w:val="00167639"/>
    <w:rsid w:val="001726F3"/>
    <w:rsid w:val="00174CC3"/>
    <w:rsid w:val="00176A06"/>
    <w:rsid w:val="001834D8"/>
    <w:rsid w:val="00185958"/>
    <w:rsid w:val="00185A24"/>
    <w:rsid w:val="00187CCF"/>
    <w:rsid w:val="0019174F"/>
    <w:rsid w:val="00196BCA"/>
    <w:rsid w:val="001A564B"/>
    <w:rsid w:val="001A6B69"/>
    <w:rsid w:val="001B2B22"/>
    <w:rsid w:val="001B3284"/>
    <w:rsid w:val="001B425E"/>
    <w:rsid w:val="001C6B20"/>
    <w:rsid w:val="001D22A1"/>
    <w:rsid w:val="001D273C"/>
    <w:rsid w:val="001D4B45"/>
    <w:rsid w:val="001D5424"/>
    <w:rsid w:val="001E2F20"/>
    <w:rsid w:val="001E4566"/>
    <w:rsid w:val="001F4992"/>
    <w:rsid w:val="001F4AF4"/>
    <w:rsid w:val="001F7C88"/>
    <w:rsid w:val="002038BB"/>
    <w:rsid w:val="002107E4"/>
    <w:rsid w:val="00210A5D"/>
    <w:rsid w:val="002118BC"/>
    <w:rsid w:val="002262CF"/>
    <w:rsid w:val="00226695"/>
    <w:rsid w:val="00230FD3"/>
    <w:rsid w:val="002333AA"/>
    <w:rsid w:val="002339A5"/>
    <w:rsid w:val="00263446"/>
    <w:rsid w:val="00263E7F"/>
    <w:rsid w:val="00263FC2"/>
    <w:rsid w:val="002717AF"/>
    <w:rsid w:val="0027203A"/>
    <w:rsid w:val="00274A10"/>
    <w:rsid w:val="00274ECB"/>
    <w:rsid w:val="002756A6"/>
    <w:rsid w:val="002916B1"/>
    <w:rsid w:val="00296873"/>
    <w:rsid w:val="002A0A5B"/>
    <w:rsid w:val="002A1EE7"/>
    <w:rsid w:val="002A62FF"/>
    <w:rsid w:val="002A73AC"/>
    <w:rsid w:val="002B08E7"/>
    <w:rsid w:val="002B0D87"/>
    <w:rsid w:val="002B2A62"/>
    <w:rsid w:val="002B3715"/>
    <w:rsid w:val="002B6C45"/>
    <w:rsid w:val="002B7027"/>
    <w:rsid w:val="002B7608"/>
    <w:rsid w:val="002C21CE"/>
    <w:rsid w:val="002C74BD"/>
    <w:rsid w:val="002C74C8"/>
    <w:rsid w:val="002D5192"/>
    <w:rsid w:val="002D6EE7"/>
    <w:rsid w:val="002E08B5"/>
    <w:rsid w:val="002E092C"/>
    <w:rsid w:val="002E13D5"/>
    <w:rsid w:val="002E2D14"/>
    <w:rsid w:val="002E5D17"/>
    <w:rsid w:val="002E714B"/>
    <w:rsid w:val="002E7E8A"/>
    <w:rsid w:val="002F1DE9"/>
    <w:rsid w:val="00312074"/>
    <w:rsid w:val="00313E7D"/>
    <w:rsid w:val="00317AC2"/>
    <w:rsid w:val="00321428"/>
    <w:rsid w:val="0032642D"/>
    <w:rsid w:val="00330DE7"/>
    <w:rsid w:val="003342E2"/>
    <w:rsid w:val="00334A9C"/>
    <w:rsid w:val="0034196A"/>
    <w:rsid w:val="00350F46"/>
    <w:rsid w:val="00351933"/>
    <w:rsid w:val="0035227D"/>
    <w:rsid w:val="00366264"/>
    <w:rsid w:val="00367953"/>
    <w:rsid w:val="00370348"/>
    <w:rsid w:val="00371A73"/>
    <w:rsid w:val="0037691A"/>
    <w:rsid w:val="00376D4A"/>
    <w:rsid w:val="00377474"/>
    <w:rsid w:val="00382041"/>
    <w:rsid w:val="003859F3"/>
    <w:rsid w:val="00393FAB"/>
    <w:rsid w:val="00395008"/>
    <w:rsid w:val="003B17C6"/>
    <w:rsid w:val="003B2349"/>
    <w:rsid w:val="003B2C1B"/>
    <w:rsid w:val="003B629B"/>
    <w:rsid w:val="003C0CBF"/>
    <w:rsid w:val="003D262C"/>
    <w:rsid w:val="003D3071"/>
    <w:rsid w:val="003E049C"/>
    <w:rsid w:val="003E220A"/>
    <w:rsid w:val="003E3660"/>
    <w:rsid w:val="003E448F"/>
    <w:rsid w:val="003F0F33"/>
    <w:rsid w:val="003F2EC5"/>
    <w:rsid w:val="003F444E"/>
    <w:rsid w:val="004024A9"/>
    <w:rsid w:val="00402B47"/>
    <w:rsid w:val="004049CE"/>
    <w:rsid w:val="00405C52"/>
    <w:rsid w:val="004233A4"/>
    <w:rsid w:val="00424D30"/>
    <w:rsid w:val="0043244B"/>
    <w:rsid w:val="00433745"/>
    <w:rsid w:val="00437581"/>
    <w:rsid w:val="00440530"/>
    <w:rsid w:val="004447E2"/>
    <w:rsid w:val="00447AE6"/>
    <w:rsid w:val="00456307"/>
    <w:rsid w:val="00462789"/>
    <w:rsid w:val="004669B3"/>
    <w:rsid w:val="00466EF8"/>
    <w:rsid w:val="004707FB"/>
    <w:rsid w:val="004725DA"/>
    <w:rsid w:val="00473F17"/>
    <w:rsid w:val="004769EC"/>
    <w:rsid w:val="0048082E"/>
    <w:rsid w:val="004825DD"/>
    <w:rsid w:val="004851DF"/>
    <w:rsid w:val="00487568"/>
    <w:rsid w:val="00493BF8"/>
    <w:rsid w:val="004957D1"/>
    <w:rsid w:val="004968C2"/>
    <w:rsid w:val="00496D4A"/>
    <w:rsid w:val="004977E4"/>
    <w:rsid w:val="004A153C"/>
    <w:rsid w:val="004A2EF9"/>
    <w:rsid w:val="004A4C50"/>
    <w:rsid w:val="004A567F"/>
    <w:rsid w:val="004B5630"/>
    <w:rsid w:val="004B719A"/>
    <w:rsid w:val="004C26C6"/>
    <w:rsid w:val="004C462E"/>
    <w:rsid w:val="004C7D66"/>
    <w:rsid w:val="004D0D37"/>
    <w:rsid w:val="004D4B9B"/>
    <w:rsid w:val="004E2475"/>
    <w:rsid w:val="004E49B4"/>
    <w:rsid w:val="004F5CE1"/>
    <w:rsid w:val="005008F5"/>
    <w:rsid w:val="00501B2E"/>
    <w:rsid w:val="00504577"/>
    <w:rsid w:val="005065E4"/>
    <w:rsid w:val="005073BD"/>
    <w:rsid w:val="0051066C"/>
    <w:rsid w:val="00510F3D"/>
    <w:rsid w:val="005142AE"/>
    <w:rsid w:val="00521422"/>
    <w:rsid w:val="0052256B"/>
    <w:rsid w:val="00531A73"/>
    <w:rsid w:val="00536A73"/>
    <w:rsid w:val="00537C28"/>
    <w:rsid w:val="00542B9D"/>
    <w:rsid w:val="00542D6B"/>
    <w:rsid w:val="0054439F"/>
    <w:rsid w:val="005511B6"/>
    <w:rsid w:val="00555394"/>
    <w:rsid w:val="005678D2"/>
    <w:rsid w:val="00567F11"/>
    <w:rsid w:val="005702F9"/>
    <w:rsid w:val="00574B66"/>
    <w:rsid w:val="00575C76"/>
    <w:rsid w:val="00580643"/>
    <w:rsid w:val="00584DFE"/>
    <w:rsid w:val="00587DEA"/>
    <w:rsid w:val="00592AB7"/>
    <w:rsid w:val="00592E87"/>
    <w:rsid w:val="0059611F"/>
    <w:rsid w:val="00596A4D"/>
    <w:rsid w:val="0059797C"/>
    <w:rsid w:val="005A18D1"/>
    <w:rsid w:val="005A2CC0"/>
    <w:rsid w:val="005B244B"/>
    <w:rsid w:val="005B5E25"/>
    <w:rsid w:val="005C19E5"/>
    <w:rsid w:val="005D47F0"/>
    <w:rsid w:val="005D5732"/>
    <w:rsid w:val="005E4142"/>
    <w:rsid w:val="005F174F"/>
    <w:rsid w:val="005F22C9"/>
    <w:rsid w:val="005F537F"/>
    <w:rsid w:val="005F53D2"/>
    <w:rsid w:val="005F56BC"/>
    <w:rsid w:val="00602215"/>
    <w:rsid w:val="00602C91"/>
    <w:rsid w:val="00603C85"/>
    <w:rsid w:val="00610B58"/>
    <w:rsid w:val="006143BB"/>
    <w:rsid w:val="00615DCA"/>
    <w:rsid w:val="00622A0D"/>
    <w:rsid w:val="00624CAE"/>
    <w:rsid w:val="006301E8"/>
    <w:rsid w:val="00630A83"/>
    <w:rsid w:val="006331B5"/>
    <w:rsid w:val="00644792"/>
    <w:rsid w:val="006448DE"/>
    <w:rsid w:val="0064711E"/>
    <w:rsid w:val="00651C41"/>
    <w:rsid w:val="00651D45"/>
    <w:rsid w:val="0066054C"/>
    <w:rsid w:val="00660729"/>
    <w:rsid w:val="00661A61"/>
    <w:rsid w:val="0066533D"/>
    <w:rsid w:val="006655C8"/>
    <w:rsid w:val="0068113D"/>
    <w:rsid w:val="00683059"/>
    <w:rsid w:val="00690D72"/>
    <w:rsid w:val="006A3004"/>
    <w:rsid w:val="006A7F3A"/>
    <w:rsid w:val="006B5F2B"/>
    <w:rsid w:val="006C1EBF"/>
    <w:rsid w:val="006C2ABB"/>
    <w:rsid w:val="006C51F5"/>
    <w:rsid w:val="006D46C2"/>
    <w:rsid w:val="006D49D1"/>
    <w:rsid w:val="006D765B"/>
    <w:rsid w:val="006E6795"/>
    <w:rsid w:val="006E693E"/>
    <w:rsid w:val="006F0106"/>
    <w:rsid w:val="006F427E"/>
    <w:rsid w:val="006F4E4C"/>
    <w:rsid w:val="006F6919"/>
    <w:rsid w:val="006F6B52"/>
    <w:rsid w:val="007017FD"/>
    <w:rsid w:val="00701AFD"/>
    <w:rsid w:val="007042A3"/>
    <w:rsid w:val="00706401"/>
    <w:rsid w:val="007068D6"/>
    <w:rsid w:val="0071161E"/>
    <w:rsid w:val="00712675"/>
    <w:rsid w:val="007149EB"/>
    <w:rsid w:val="007202F3"/>
    <w:rsid w:val="007210C0"/>
    <w:rsid w:val="00723230"/>
    <w:rsid w:val="007243D2"/>
    <w:rsid w:val="007337F8"/>
    <w:rsid w:val="007355A5"/>
    <w:rsid w:val="00735FA0"/>
    <w:rsid w:val="00741E82"/>
    <w:rsid w:val="00742E29"/>
    <w:rsid w:val="00743E0F"/>
    <w:rsid w:val="00744CBE"/>
    <w:rsid w:val="00745C46"/>
    <w:rsid w:val="007467EB"/>
    <w:rsid w:val="007510F9"/>
    <w:rsid w:val="007531F5"/>
    <w:rsid w:val="00760D40"/>
    <w:rsid w:val="0076191E"/>
    <w:rsid w:val="00767729"/>
    <w:rsid w:val="007706A5"/>
    <w:rsid w:val="00771748"/>
    <w:rsid w:val="007764E1"/>
    <w:rsid w:val="00781A4A"/>
    <w:rsid w:val="00785BDB"/>
    <w:rsid w:val="00786B6E"/>
    <w:rsid w:val="007A0AA6"/>
    <w:rsid w:val="007A2622"/>
    <w:rsid w:val="007A5AEB"/>
    <w:rsid w:val="007A609F"/>
    <w:rsid w:val="007A752C"/>
    <w:rsid w:val="007B02C9"/>
    <w:rsid w:val="007B4979"/>
    <w:rsid w:val="007B5B4E"/>
    <w:rsid w:val="007B64AB"/>
    <w:rsid w:val="007C5E43"/>
    <w:rsid w:val="007C6576"/>
    <w:rsid w:val="007E139A"/>
    <w:rsid w:val="007E4D0D"/>
    <w:rsid w:val="007F13F0"/>
    <w:rsid w:val="007F15B1"/>
    <w:rsid w:val="007F504D"/>
    <w:rsid w:val="007F5E25"/>
    <w:rsid w:val="008033FC"/>
    <w:rsid w:val="00804A1E"/>
    <w:rsid w:val="00806BAC"/>
    <w:rsid w:val="00811248"/>
    <w:rsid w:val="00811509"/>
    <w:rsid w:val="00814455"/>
    <w:rsid w:val="00821BCC"/>
    <w:rsid w:val="008254FA"/>
    <w:rsid w:val="008312FE"/>
    <w:rsid w:val="00835755"/>
    <w:rsid w:val="00836E63"/>
    <w:rsid w:val="008402BD"/>
    <w:rsid w:val="00841CD0"/>
    <w:rsid w:val="00842AAE"/>
    <w:rsid w:val="00845147"/>
    <w:rsid w:val="00845527"/>
    <w:rsid w:val="00851EB6"/>
    <w:rsid w:val="00855CE7"/>
    <w:rsid w:val="00862E80"/>
    <w:rsid w:val="00863FF2"/>
    <w:rsid w:val="00865C0A"/>
    <w:rsid w:val="0087173F"/>
    <w:rsid w:val="00871C2D"/>
    <w:rsid w:val="008758AA"/>
    <w:rsid w:val="0088187F"/>
    <w:rsid w:val="00890F71"/>
    <w:rsid w:val="008929AA"/>
    <w:rsid w:val="008957EF"/>
    <w:rsid w:val="00895BEB"/>
    <w:rsid w:val="00896681"/>
    <w:rsid w:val="008A27C5"/>
    <w:rsid w:val="008A30C9"/>
    <w:rsid w:val="008A6F65"/>
    <w:rsid w:val="008B0DEC"/>
    <w:rsid w:val="008B57A2"/>
    <w:rsid w:val="008B6FD9"/>
    <w:rsid w:val="008B7A21"/>
    <w:rsid w:val="008C1713"/>
    <w:rsid w:val="008C3761"/>
    <w:rsid w:val="008C3C51"/>
    <w:rsid w:val="008C5133"/>
    <w:rsid w:val="008C54D4"/>
    <w:rsid w:val="008C664C"/>
    <w:rsid w:val="008D22E7"/>
    <w:rsid w:val="008D7029"/>
    <w:rsid w:val="008E169A"/>
    <w:rsid w:val="008E2CDF"/>
    <w:rsid w:val="008E4235"/>
    <w:rsid w:val="008E5136"/>
    <w:rsid w:val="008E6869"/>
    <w:rsid w:val="008F7DE6"/>
    <w:rsid w:val="0090402E"/>
    <w:rsid w:val="00905A9C"/>
    <w:rsid w:val="00907C79"/>
    <w:rsid w:val="0091515F"/>
    <w:rsid w:val="0092387B"/>
    <w:rsid w:val="00930C8B"/>
    <w:rsid w:val="00934A3A"/>
    <w:rsid w:val="00934EA0"/>
    <w:rsid w:val="0094029A"/>
    <w:rsid w:val="00945EE1"/>
    <w:rsid w:val="0095057F"/>
    <w:rsid w:val="00960080"/>
    <w:rsid w:val="00960B5F"/>
    <w:rsid w:val="0096354A"/>
    <w:rsid w:val="009662AA"/>
    <w:rsid w:val="009678ED"/>
    <w:rsid w:val="0097038B"/>
    <w:rsid w:val="0097218A"/>
    <w:rsid w:val="00972BF5"/>
    <w:rsid w:val="00973FFB"/>
    <w:rsid w:val="009751EC"/>
    <w:rsid w:val="00977B3A"/>
    <w:rsid w:val="00980737"/>
    <w:rsid w:val="009860F7"/>
    <w:rsid w:val="0098654E"/>
    <w:rsid w:val="00987BCD"/>
    <w:rsid w:val="0099133D"/>
    <w:rsid w:val="00996955"/>
    <w:rsid w:val="009A072B"/>
    <w:rsid w:val="009A35C6"/>
    <w:rsid w:val="009A5B4A"/>
    <w:rsid w:val="009A7FFC"/>
    <w:rsid w:val="009B0018"/>
    <w:rsid w:val="009C222E"/>
    <w:rsid w:val="009C3759"/>
    <w:rsid w:val="009C38DE"/>
    <w:rsid w:val="009D0E00"/>
    <w:rsid w:val="009D47D4"/>
    <w:rsid w:val="009E2EF0"/>
    <w:rsid w:val="009E3099"/>
    <w:rsid w:val="009F0816"/>
    <w:rsid w:val="009F09FD"/>
    <w:rsid w:val="009F3A20"/>
    <w:rsid w:val="009F6656"/>
    <w:rsid w:val="009F7EB3"/>
    <w:rsid w:val="00A04443"/>
    <w:rsid w:val="00A04C4E"/>
    <w:rsid w:val="00A07BCC"/>
    <w:rsid w:val="00A234F4"/>
    <w:rsid w:val="00A3208B"/>
    <w:rsid w:val="00A510C9"/>
    <w:rsid w:val="00A51888"/>
    <w:rsid w:val="00A52A75"/>
    <w:rsid w:val="00A54AD9"/>
    <w:rsid w:val="00A555C4"/>
    <w:rsid w:val="00A55D5E"/>
    <w:rsid w:val="00A5644C"/>
    <w:rsid w:val="00A62AC5"/>
    <w:rsid w:val="00A65F46"/>
    <w:rsid w:val="00A67459"/>
    <w:rsid w:val="00A67867"/>
    <w:rsid w:val="00A739AB"/>
    <w:rsid w:val="00A74EE9"/>
    <w:rsid w:val="00A74F7F"/>
    <w:rsid w:val="00A7767C"/>
    <w:rsid w:val="00A801CA"/>
    <w:rsid w:val="00A81B65"/>
    <w:rsid w:val="00A82D2F"/>
    <w:rsid w:val="00A8388D"/>
    <w:rsid w:val="00A86EE4"/>
    <w:rsid w:val="00A9291C"/>
    <w:rsid w:val="00A92A12"/>
    <w:rsid w:val="00AA598F"/>
    <w:rsid w:val="00AB0BFC"/>
    <w:rsid w:val="00AB5B4C"/>
    <w:rsid w:val="00AB7085"/>
    <w:rsid w:val="00AC0E5E"/>
    <w:rsid w:val="00AC5A41"/>
    <w:rsid w:val="00AC736D"/>
    <w:rsid w:val="00AD2FD1"/>
    <w:rsid w:val="00AE1F50"/>
    <w:rsid w:val="00AE25DC"/>
    <w:rsid w:val="00AF180E"/>
    <w:rsid w:val="00AF6C83"/>
    <w:rsid w:val="00B027F6"/>
    <w:rsid w:val="00B07995"/>
    <w:rsid w:val="00B104D4"/>
    <w:rsid w:val="00B1294E"/>
    <w:rsid w:val="00B15F42"/>
    <w:rsid w:val="00B21C11"/>
    <w:rsid w:val="00B24C0D"/>
    <w:rsid w:val="00B26F9A"/>
    <w:rsid w:val="00B378C4"/>
    <w:rsid w:val="00B43863"/>
    <w:rsid w:val="00B46756"/>
    <w:rsid w:val="00B47833"/>
    <w:rsid w:val="00B50893"/>
    <w:rsid w:val="00B55DFA"/>
    <w:rsid w:val="00B5665F"/>
    <w:rsid w:val="00B576D8"/>
    <w:rsid w:val="00B641D6"/>
    <w:rsid w:val="00B708A2"/>
    <w:rsid w:val="00B804A0"/>
    <w:rsid w:val="00B926B5"/>
    <w:rsid w:val="00B9598B"/>
    <w:rsid w:val="00B964F7"/>
    <w:rsid w:val="00B9714E"/>
    <w:rsid w:val="00B97670"/>
    <w:rsid w:val="00BA1656"/>
    <w:rsid w:val="00BA484F"/>
    <w:rsid w:val="00BB0E8A"/>
    <w:rsid w:val="00BB3ED4"/>
    <w:rsid w:val="00BC1216"/>
    <w:rsid w:val="00BC1D8B"/>
    <w:rsid w:val="00BC6558"/>
    <w:rsid w:val="00BD53B1"/>
    <w:rsid w:val="00BD7796"/>
    <w:rsid w:val="00BE5B66"/>
    <w:rsid w:val="00BF0EDE"/>
    <w:rsid w:val="00BF383D"/>
    <w:rsid w:val="00C142D3"/>
    <w:rsid w:val="00C14C20"/>
    <w:rsid w:val="00C17715"/>
    <w:rsid w:val="00C2278F"/>
    <w:rsid w:val="00C23365"/>
    <w:rsid w:val="00C2565B"/>
    <w:rsid w:val="00C275D7"/>
    <w:rsid w:val="00C33015"/>
    <w:rsid w:val="00C3365B"/>
    <w:rsid w:val="00C4046A"/>
    <w:rsid w:val="00C407C7"/>
    <w:rsid w:val="00C432F3"/>
    <w:rsid w:val="00C45D94"/>
    <w:rsid w:val="00C46F42"/>
    <w:rsid w:val="00C638C6"/>
    <w:rsid w:val="00C64713"/>
    <w:rsid w:val="00C7119A"/>
    <w:rsid w:val="00C725E2"/>
    <w:rsid w:val="00C73DD3"/>
    <w:rsid w:val="00C77DAF"/>
    <w:rsid w:val="00C83561"/>
    <w:rsid w:val="00C836EA"/>
    <w:rsid w:val="00C875A1"/>
    <w:rsid w:val="00C876E9"/>
    <w:rsid w:val="00C87CDD"/>
    <w:rsid w:val="00C91351"/>
    <w:rsid w:val="00C91C13"/>
    <w:rsid w:val="00C929B9"/>
    <w:rsid w:val="00C95926"/>
    <w:rsid w:val="00CA322E"/>
    <w:rsid w:val="00CA3FBC"/>
    <w:rsid w:val="00CB5F88"/>
    <w:rsid w:val="00CB6518"/>
    <w:rsid w:val="00CB75C8"/>
    <w:rsid w:val="00CC12A5"/>
    <w:rsid w:val="00CC3D0A"/>
    <w:rsid w:val="00CC799E"/>
    <w:rsid w:val="00CD2943"/>
    <w:rsid w:val="00CD6113"/>
    <w:rsid w:val="00CD7520"/>
    <w:rsid w:val="00CE63E6"/>
    <w:rsid w:val="00CE64F3"/>
    <w:rsid w:val="00CF13CF"/>
    <w:rsid w:val="00CF3DC3"/>
    <w:rsid w:val="00D0063D"/>
    <w:rsid w:val="00D03726"/>
    <w:rsid w:val="00D05233"/>
    <w:rsid w:val="00D07229"/>
    <w:rsid w:val="00D148C5"/>
    <w:rsid w:val="00D15806"/>
    <w:rsid w:val="00D267FA"/>
    <w:rsid w:val="00D31B09"/>
    <w:rsid w:val="00D349B5"/>
    <w:rsid w:val="00D3661B"/>
    <w:rsid w:val="00D44BBF"/>
    <w:rsid w:val="00D44DDA"/>
    <w:rsid w:val="00D47312"/>
    <w:rsid w:val="00D564D4"/>
    <w:rsid w:val="00D746C8"/>
    <w:rsid w:val="00D773ED"/>
    <w:rsid w:val="00D830DC"/>
    <w:rsid w:val="00D83EC5"/>
    <w:rsid w:val="00D8553C"/>
    <w:rsid w:val="00D865DC"/>
    <w:rsid w:val="00D95D5F"/>
    <w:rsid w:val="00DA095F"/>
    <w:rsid w:val="00DA1F36"/>
    <w:rsid w:val="00DA2E31"/>
    <w:rsid w:val="00DA46E8"/>
    <w:rsid w:val="00DB06A4"/>
    <w:rsid w:val="00DB0869"/>
    <w:rsid w:val="00DB1D0D"/>
    <w:rsid w:val="00DB40B6"/>
    <w:rsid w:val="00DB4EB7"/>
    <w:rsid w:val="00DC34F3"/>
    <w:rsid w:val="00DC468A"/>
    <w:rsid w:val="00DC4FB6"/>
    <w:rsid w:val="00DC57AA"/>
    <w:rsid w:val="00DC60D4"/>
    <w:rsid w:val="00DC6D4B"/>
    <w:rsid w:val="00DC7324"/>
    <w:rsid w:val="00DD5A38"/>
    <w:rsid w:val="00DD6B77"/>
    <w:rsid w:val="00DE0C35"/>
    <w:rsid w:val="00DE2DDB"/>
    <w:rsid w:val="00DE6EF5"/>
    <w:rsid w:val="00DF082D"/>
    <w:rsid w:val="00DF39B0"/>
    <w:rsid w:val="00DF686F"/>
    <w:rsid w:val="00DF7AC0"/>
    <w:rsid w:val="00E03EC4"/>
    <w:rsid w:val="00E06353"/>
    <w:rsid w:val="00E06FE0"/>
    <w:rsid w:val="00E116BE"/>
    <w:rsid w:val="00E16A64"/>
    <w:rsid w:val="00E22C83"/>
    <w:rsid w:val="00E2777F"/>
    <w:rsid w:val="00E327B6"/>
    <w:rsid w:val="00E343DE"/>
    <w:rsid w:val="00E36050"/>
    <w:rsid w:val="00E4544D"/>
    <w:rsid w:val="00E4591F"/>
    <w:rsid w:val="00E66568"/>
    <w:rsid w:val="00E728F8"/>
    <w:rsid w:val="00E7427F"/>
    <w:rsid w:val="00E747E0"/>
    <w:rsid w:val="00E7553D"/>
    <w:rsid w:val="00E75624"/>
    <w:rsid w:val="00E77B0D"/>
    <w:rsid w:val="00E8089B"/>
    <w:rsid w:val="00E810B0"/>
    <w:rsid w:val="00E81B40"/>
    <w:rsid w:val="00E82446"/>
    <w:rsid w:val="00E86098"/>
    <w:rsid w:val="00E90585"/>
    <w:rsid w:val="00E90785"/>
    <w:rsid w:val="00E90952"/>
    <w:rsid w:val="00E915B1"/>
    <w:rsid w:val="00E91790"/>
    <w:rsid w:val="00E92601"/>
    <w:rsid w:val="00EA0E4F"/>
    <w:rsid w:val="00EA3CF3"/>
    <w:rsid w:val="00EA4A4F"/>
    <w:rsid w:val="00EB7A78"/>
    <w:rsid w:val="00EC3040"/>
    <w:rsid w:val="00EC4DB1"/>
    <w:rsid w:val="00EC77B3"/>
    <w:rsid w:val="00ED5BDE"/>
    <w:rsid w:val="00ED5DBA"/>
    <w:rsid w:val="00EE09A7"/>
    <w:rsid w:val="00EE296F"/>
    <w:rsid w:val="00EE34AA"/>
    <w:rsid w:val="00EF6A70"/>
    <w:rsid w:val="00F1106F"/>
    <w:rsid w:val="00F115B3"/>
    <w:rsid w:val="00F22339"/>
    <w:rsid w:val="00F2552C"/>
    <w:rsid w:val="00F27497"/>
    <w:rsid w:val="00F275D2"/>
    <w:rsid w:val="00F30CAC"/>
    <w:rsid w:val="00F315BD"/>
    <w:rsid w:val="00F33E9C"/>
    <w:rsid w:val="00F42A07"/>
    <w:rsid w:val="00F42F9B"/>
    <w:rsid w:val="00F43AC3"/>
    <w:rsid w:val="00F47831"/>
    <w:rsid w:val="00F50D0B"/>
    <w:rsid w:val="00F52A49"/>
    <w:rsid w:val="00F6464E"/>
    <w:rsid w:val="00F7057D"/>
    <w:rsid w:val="00F70988"/>
    <w:rsid w:val="00F73FE8"/>
    <w:rsid w:val="00F76744"/>
    <w:rsid w:val="00F7715A"/>
    <w:rsid w:val="00F80CAB"/>
    <w:rsid w:val="00F94A50"/>
    <w:rsid w:val="00F96ADB"/>
    <w:rsid w:val="00FA331A"/>
    <w:rsid w:val="00FB7E3D"/>
    <w:rsid w:val="00FC597B"/>
    <w:rsid w:val="00FC5C95"/>
    <w:rsid w:val="00FC668C"/>
    <w:rsid w:val="00FC7EBA"/>
    <w:rsid w:val="00FD5F53"/>
    <w:rsid w:val="00FD6CF1"/>
    <w:rsid w:val="00FD713C"/>
    <w:rsid w:val="00FE25DA"/>
    <w:rsid w:val="00FF0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5B7688D"/>
  <w15:chartTrackingRefBased/>
  <w15:docId w15:val="{2EB202CF-533B-4B68-84B3-683040716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A32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76E8B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A32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76E8B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A322E"/>
    <w:pPr>
      <w:keepNext/>
      <w:keepLines/>
      <w:spacing w:before="160" w:after="80"/>
      <w:outlineLvl w:val="2"/>
    </w:pPr>
    <w:rPr>
      <w:rFonts w:eastAsiaTheme="majorEastAsia" w:cstheme="majorBidi"/>
      <w:color w:val="276E8B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A32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76E8B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A322E"/>
    <w:pPr>
      <w:keepNext/>
      <w:keepLines/>
      <w:spacing w:before="80" w:after="40"/>
      <w:outlineLvl w:val="4"/>
    </w:pPr>
    <w:rPr>
      <w:rFonts w:eastAsiaTheme="majorEastAsia" w:cstheme="majorBidi"/>
      <w:color w:val="276E8B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A32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A32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A32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A32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A322E"/>
    <w:rPr>
      <w:rFonts w:asciiTheme="majorHAnsi" w:eastAsiaTheme="majorEastAsia" w:hAnsiTheme="majorHAnsi" w:cstheme="majorBidi"/>
      <w:color w:val="276E8B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A322E"/>
    <w:rPr>
      <w:rFonts w:asciiTheme="majorHAnsi" w:eastAsiaTheme="majorEastAsia" w:hAnsiTheme="majorHAnsi" w:cstheme="majorBidi"/>
      <w:color w:val="276E8B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A322E"/>
    <w:rPr>
      <w:rFonts w:eastAsiaTheme="majorEastAsia" w:cstheme="majorBidi"/>
      <w:color w:val="276E8B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A322E"/>
    <w:rPr>
      <w:rFonts w:eastAsiaTheme="majorEastAsia" w:cstheme="majorBidi"/>
      <w:i/>
      <w:iCs/>
      <w:color w:val="276E8B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A322E"/>
    <w:rPr>
      <w:rFonts w:eastAsiaTheme="majorEastAsia" w:cstheme="majorBidi"/>
      <w:color w:val="276E8B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A322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A322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A322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A322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A32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A32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32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A32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A32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A322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A322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A322E"/>
    <w:rPr>
      <w:i/>
      <w:iCs/>
      <w:color w:val="276E8B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322E"/>
    <w:pPr>
      <w:pBdr>
        <w:top w:val="single" w:sz="4" w:space="10" w:color="276E8B" w:themeColor="accent1" w:themeShade="BF"/>
        <w:bottom w:val="single" w:sz="4" w:space="10" w:color="276E8B" w:themeColor="accent1" w:themeShade="BF"/>
      </w:pBdr>
      <w:spacing w:before="360" w:after="360"/>
      <w:ind w:left="864" w:right="864"/>
      <w:jc w:val="center"/>
    </w:pPr>
    <w:rPr>
      <w:i/>
      <w:iCs/>
      <w:color w:val="276E8B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322E"/>
    <w:rPr>
      <w:i/>
      <w:iCs/>
      <w:color w:val="276E8B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A322E"/>
    <w:rPr>
      <w:b/>
      <w:bCs/>
      <w:smallCaps/>
      <w:color w:val="276E8B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3365B"/>
    <w:rPr>
      <w:color w:val="6B9F25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3365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instantindicators.net.au" TargetMode="External"/><Relationship Id="rId3" Type="http://schemas.openxmlformats.org/officeDocument/2006/relationships/styles" Target="styles.xml"/><Relationship Id="rId7" Type="http://schemas.openxmlformats.org/officeDocument/2006/relationships/chart" Target="charts/chart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instantindicators.net.au" TargetMode="Externa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mand\AppData\Local\Temp\7dc06b1e-bfec-4fcd-91ca-8bf41a550683_InstantIndicators%20(2).zip.683\Prices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n-US"/>
              <a:t>Inflation</a:t>
            </a:r>
          </a:p>
        </c:rich>
      </c:tx>
      <c:overlay val="0"/>
    </c:title>
    <c:autoTitleDeleted val="0"/>
    <c:plotArea>
      <c:layout>
        <c:manualLayout>
          <c:layoutTarget val="inner"/>
          <c:xMode val="edge"/>
          <c:yMode val="edge"/>
          <c:x val="0.16202172645086033"/>
          <c:y val="0.10738846137798255"/>
          <c:w val="0.78705234762321374"/>
          <c:h val="0.54153152884655509"/>
        </c:manualLayout>
      </c:layout>
      <c:lineChart>
        <c:grouping val="standard"/>
        <c:varyColors val="0"/>
        <c:ser>
          <c:idx val="0"/>
          <c:order val="0"/>
          <c:tx>
            <c:v>Inflation - CPI (Monthly)</c:v>
          </c:tx>
          <c:spPr>
            <a:ln>
              <a:solidFill>
                <a:srgbClr val="479F88"/>
              </a:solidFill>
            </a:ln>
          </c:spPr>
          <c:marker>
            <c:symbol val="none"/>
          </c:marker>
          <c:cat>
            <c:numRef>
              <c:f>Sheet5!$A$30:$A$39</c:f>
              <c:numCache>
                <c:formatCode>mmm\-yy</c:formatCode>
                <c:ptCount val="10"/>
                <c:pt idx="0">
                  <c:v>45962</c:v>
                </c:pt>
                <c:pt idx="1">
                  <c:v>45992</c:v>
                </c:pt>
                <c:pt idx="2">
                  <c:v>46023</c:v>
                </c:pt>
                <c:pt idx="3">
                  <c:v>46054</c:v>
                </c:pt>
                <c:pt idx="4">
                  <c:v>46082</c:v>
                </c:pt>
                <c:pt idx="5">
                  <c:v>46113</c:v>
                </c:pt>
                <c:pt idx="6">
                  <c:v>46143</c:v>
                </c:pt>
                <c:pt idx="7">
                  <c:v>46174</c:v>
                </c:pt>
                <c:pt idx="8">
                  <c:v>46204</c:v>
                </c:pt>
                <c:pt idx="9">
                  <c:v>46235</c:v>
                </c:pt>
              </c:numCache>
            </c:numRef>
          </c:cat>
          <c:val>
            <c:numRef>
              <c:f>Sheet5!$B$30:$B$39</c:f>
              <c:numCache>
                <c:formatCode>General</c:formatCode>
                <c:ptCount val="10"/>
                <c:pt idx="0">
                  <c:v>3.4</c:v>
                </c:pt>
                <c:pt idx="1">
                  <c:v>3.8</c:v>
                </c:pt>
                <c:pt idx="2">
                  <c:v>3.8</c:v>
                </c:pt>
                <c:pt idx="3">
                  <c:v>3.7</c:v>
                </c:pt>
                <c:pt idx="4">
                  <c:v>4.5999999999999996</c:v>
                </c:pt>
                <c:pt idx="5">
                  <c:v>4.2</c:v>
                </c:pt>
                <c:pt idx="6">
                  <c:v>4</c:v>
                </c:pt>
                <c:pt idx="7">
                  <c:v>3.8</c:v>
                </c:pt>
                <c:pt idx="8">
                  <c:v>3.5</c:v>
                </c:pt>
                <c:pt idx="9">
                  <c:v>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BC85-4546-B06B-BD887A3E62C8}"/>
            </c:ext>
          </c:extLst>
        </c:ser>
        <c:ser>
          <c:idx val="1"/>
          <c:order val="1"/>
          <c:tx>
            <c:v>Underlying inflation (Monthly)</c:v>
          </c:tx>
          <c:spPr>
            <a:ln>
              <a:solidFill>
                <a:srgbClr val="67B3C1"/>
              </a:solidFill>
            </a:ln>
          </c:spPr>
          <c:marker>
            <c:symbol val="none"/>
          </c:marker>
          <c:val>
            <c:numRef>
              <c:f>Sheet5!$E$30:$E$39</c:f>
              <c:numCache>
                <c:formatCode>General</c:formatCode>
                <c:ptCount val="10"/>
                <c:pt idx="0">
                  <c:v>3.4</c:v>
                </c:pt>
                <c:pt idx="1">
                  <c:v>3.5</c:v>
                </c:pt>
                <c:pt idx="2">
                  <c:v>3.6</c:v>
                </c:pt>
                <c:pt idx="3">
                  <c:v>3.4</c:v>
                </c:pt>
                <c:pt idx="4">
                  <c:v>3.4</c:v>
                </c:pt>
                <c:pt idx="5">
                  <c:v>3.4</c:v>
                </c:pt>
                <c:pt idx="6">
                  <c:v>3.5</c:v>
                </c:pt>
                <c:pt idx="7">
                  <c:v>3.6</c:v>
                </c:pt>
                <c:pt idx="8">
                  <c:v>3.6</c:v>
                </c:pt>
                <c:pt idx="9">
                  <c:v>3.6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BC85-4546-B06B-BD887A3E62C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50010001"/>
        <c:axId val="50010002"/>
      </c:lineChart>
      <c:areaChart>
        <c:grouping val="stacked"/>
        <c:varyColors val="0"/>
        <c:ser>
          <c:idx val="2"/>
          <c:order val="2"/>
          <c:tx>
            <c:v>RBA target range (2-3%)</c:v>
          </c:tx>
          <c:spPr>
            <a:solidFill>
              <a:srgbClr val="FFFFFF"/>
            </a:solidFill>
            <a:ln>
              <a:solidFill>
                <a:srgbClr val="FFFFFF"/>
              </a:solidFill>
            </a:ln>
          </c:spPr>
          <c:cat>
            <c:numRef>
              <c:f>Sheet5!$A$30:$A$39</c:f>
              <c:numCache>
                <c:formatCode>mmm\-yy</c:formatCode>
                <c:ptCount val="10"/>
                <c:pt idx="0">
                  <c:v>45962</c:v>
                </c:pt>
                <c:pt idx="1">
                  <c:v>45992</c:v>
                </c:pt>
                <c:pt idx="2">
                  <c:v>46023</c:v>
                </c:pt>
                <c:pt idx="3">
                  <c:v>46054</c:v>
                </c:pt>
                <c:pt idx="4">
                  <c:v>46082</c:v>
                </c:pt>
                <c:pt idx="5">
                  <c:v>46113</c:v>
                </c:pt>
                <c:pt idx="6">
                  <c:v>46143</c:v>
                </c:pt>
                <c:pt idx="7">
                  <c:v>46174</c:v>
                </c:pt>
                <c:pt idx="8">
                  <c:v>46204</c:v>
                </c:pt>
                <c:pt idx="9">
                  <c:v>46235</c:v>
                </c:pt>
              </c:numCache>
            </c:numRef>
          </c:cat>
          <c:val>
            <c:numRef>
              <c:f>Sheet5!$G$30:$G$39</c:f>
              <c:numCache>
                <c:formatCode>General</c:formatCode>
                <c:ptCount val="10"/>
                <c:pt idx="0">
                  <c:v>2</c:v>
                </c:pt>
                <c:pt idx="1">
                  <c:v>2</c:v>
                </c:pt>
                <c:pt idx="2">
                  <c:v>2</c:v>
                </c:pt>
                <c:pt idx="3">
                  <c:v>2</c:v>
                </c:pt>
                <c:pt idx="4">
                  <c:v>2</c:v>
                </c:pt>
                <c:pt idx="5">
                  <c:v>2</c:v>
                </c:pt>
                <c:pt idx="6">
                  <c:v>2</c:v>
                </c:pt>
                <c:pt idx="7">
                  <c:v>2</c:v>
                </c:pt>
                <c:pt idx="8">
                  <c:v>2</c:v>
                </c:pt>
                <c:pt idx="9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BC85-4546-B06B-BD887A3E62C8}"/>
            </c:ext>
          </c:extLst>
        </c:ser>
        <c:ser>
          <c:idx val="3"/>
          <c:order val="3"/>
          <c:tx>
            <c:v/>
          </c:tx>
          <c:spPr>
            <a:solidFill>
              <a:srgbClr val="94B74A">
                <a:alpha val="50000"/>
              </a:srgbClr>
            </a:solidFill>
            <a:ln>
              <a:solidFill>
                <a:srgbClr val="94B74A"/>
              </a:solidFill>
            </a:ln>
          </c:spPr>
          <c:val>
            <c:numRef>
              <c:f>Sheet5!$I$30:$I$39</c:f>
              <c:numCache>
                <c:formatCode>General</c:formatCode>
                <c:ptCount val="10"/>
                <c:pt idx="0">
                  <c:v>1</c:v>
                </c:pt>
                <c:pt idx="1">
                  <c:v>1</c:v>
                </c:pt>
                <c:pt idx="2">
                  <c:v>1</c:v>
                </c:pt>
                <c:pt idx="3">
                  <c:v>1</c:v>
                </c:pt>
                <c:pt idx="4">
                  <c:v>1</c:v>
                </c:pt>
                <c:pt idx="5">
                  <c:v>1</c:v>
                </c:pt>
                <c:pt idx="6">
                  <c:v>1</c:v>
                </c:pt>
                <c:pt idx="7">
                  <c:v>1</c:v>
                </c:pt>
                <c:pt idx="8">
                  <c:v>1</c:v>
                </c:pt>
                <c:pt idx="9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BC85-4546-B06B-BD887A3E62C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50010001"/>
        <c:axId val="50010002"/>
      </c:areaChart>
      <c:dateAx>
        <c:axId val="50010001"/>
        <c:scaling>
          <c:orientation val="minMax"/>
        </c:scaling>
        <c:delete val="0"/>
        <c:axPos val="b"/>
        <c:numFmt formatCode="mmm\-yy" sourceLinked="1"/>
        <c:majorTickMark val="out"/>
        <c:minorTickMark val="none"/>
        <c:tickLblPos val="low"/>
        <c:crossAx val="50010002"/>
        <c:crosses val="autoZero"/>
        <c:auto val="1"/>
        <c:lblOffset val="100"/>
        <c:baseTimeUnit val="months"/>
      </c:dateAx>
      <c:valAx>
        <c:axId val="50010002"/>
        <c:scaling>
          <c:orientation val="minMax"/>
          <c:max val="5"/>
          <c:min val="1.5"/>
        </c:scaling>
        <c:delete val="0"/>
        <c:axPos val="l"/>
        <c:majorGridlines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/>
                  <a:t>year end % change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crossAx val="50010001"/>
        <c:crosses val="autoZero"/>
        <c:crossBetween val="between"/>
      </c:valAx>
    </c:plotArea>
    <c:legend>
      <c:legendPos val="b"/>
      <c:layout>
        <c:manualLayout>
          <c:xMode val="edge"/>
          <c:yMode val="edge"/>
          <c:x val="0.17599336541265675"/>
          <c:y val="0.80070750192370532"/>
          <c:w val="0.754494750656168"/>
          <c:h val="0.18322824104818222"/>
        </c:manualLayout>
      </c:layout>
      <c:overlay val="0"/>
    </c:legend>
    <c:plotVisOnly val="1"/>
    <c:dispBlanksAs val="zero"/>
    <c:showDLblsOverMax val="0"/>
  </c:chart>
  <c:txPr>
    <a:bodyPr/>
    <a:lstStyle/>
    <a:p>
      <a:pPr>
        <a:defRPr sz="900" b="0">
          <a:latin typeface="Kigelia Light" panose="020B0303020202020203" pitchFamily="34" charset="0"/>
          <a:ea typeface="Kigelia Light" panose="020B0303020202020203" pitchFamily="34" charset="0"/>
          <a:cs typeface="Kigelia Light" panose="020B0303020202020203" pitchFamily="34" charset="0"/>
        </a:defRPr>
      </a:pPr>
      <a:endParaRPr lang="en-US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Blue Green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F3E53B-7AF7-48CA-945E-6EF84E45EA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</TotalTime>
  <Pages>1</Pages>
  <Words>363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Scully</dc:creator>
  <cp:keywords/>
  <dc:description/>
  <cp:lastModifiedBy>Amanda Scully</cp:lastModifiedBy>
  <cp:revision>220</cp:revision>
  <cp:lastPrinted>2026-09-30T03:09:00Z</cp:lastPrinted>
  <dcterms:created xsi:type="dcterms:W3CDTF">2026-03-03T06:16:00Z</dcterms:created>
  <dcterms:modified xsi:type="dcterms:W3CDTF">2026-09-30T03:29:00Z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40bc5333-1339-44bf-9553-00bd5069ac61</vt:lpwstr>
  </property>
</Properties>
</file>